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autofit"/>
        <w:tblLook w:firstColumn="1" w:firstRow="1" w:lastColumn="0" w:lastRow="0" w:noHBand="0" w:noVBand="1" w:val="04A0"/>
      </w:tblPr>
      <w:tblGrid>
        <w:gridCol w:w="10206"/>
      </w:tblGrid>
      <w:tr>
        <w:tc>
          <w:tcPr>
            <w:tcW w:type="dxa" w:w="10206"/>
            <w:shd w:fill="17302B" w:val="clear"/>
            <w:tcMar>
              <w:top w:w="240" w:type="dxa"/>
              <w:start w:w="280" w:type="dxa"/>
              <w:bottom w:w="245" w:type="dxa"/>
              <w:end w:w="280" w:type="dxa"/>
            </w:tcMar>
            <w:tcBorders>
              <w:top w:val="nil"/>
              <w:left w:val="nil"/>
              <w:bottom w:val="nil"/>
              <w:right w:val="nil"/>
            </w:tcBorders>
          </w:tcPr>
          <w:p/>
          <w:tbl>
            <w:tblPr>
              <w:tblW w:type="auto" w:w="0"/>
              <w:tblLayout w:type="fixed"/>
              <w:tblLook w:firstColumn="1" w:firstRow="1" w:lastColumn="0" w:lastRow="0" w:noHBand="0" w:noVBand="1" w:val="04A0"/>
            </w:tblPr>
            <w:tblGrid>
              <w:gridCol w:w="1247"/>
              <w:gridCol w:w="8334"/>
            </w:tblGrid>
            <w:tr>
              <w:tc>
                <w:tcPr>
                  <w:tcW w:type="dxa" w:w="5103"/>
                  <w:tcBorders>
                    <w:top w:val="nil"/>
                    <w:left w:val="nil"/>
                    <w:bottom w:val="nil"/>
                    <w:right w:val="nil"/>
                  </w:tcBorders>
                  <w:tcMar>
                    <w:top w:w="0" w:type="dxa"/>
                    <w:start w:w="0" w:type="dxa"/>
                    <w:bottom w:w="0" w:type="dxa"/>
                    <w:end w:w="0" w:type="dxa"/>
                  </w:tcMar>
                  <w:vAlign w:val="center"/>
                </w:tcPr>
                <w:p>
                  <w:pPr>
                    <w:jc w:val="left"/>
                  </w:pPr>
                  <w:r>
                    <w:drawing>
                      <wp:inline xmlns:a="http://schemas.openxmlformats.org/drawingml/2006/main" xmlns:pic="http://schemas.openxmlformats.org/drawingml/2006/picture">
                        <wp:extent cx="522000" cy="522000"/>
                        <wp:docPr id="1" name="Picture 1"/>
                        <wp:cNvGraphicFramePr>
                          <a:graphicFrameLocks noChangeAspect="1"/>
                        </wp:cNvGraphicFramePr>
                        <a:graphic>
                          <a:graphicData uri="http://schemas.openxmlformats.org/drawingml/2006/picture">
                            <pic:pic>
                              <pic:nvPicPr>
                                <pic:cNvPr id="0" name="mesd_mark.png"/>
                                <pic:cNvPicPr/>
                              </pic:nvPicPr>
                              <pic:blipFill>
                                <a:blip r:embed="rId10"/>
                                <a:stretch>
                                  <a:fillRect/>
                                </a:stretch>
                              </pic:blipFill>
                              <pic:spPr>
                                <a:xfrm>
                                  <a:off x="0" y="0"/>
                                  <a:ext cx="522000" cy="522000"/>
                                </a:xfrm>
                                <a:prstGeom prst="rect"/>
                              </pic:spPr>
                            </pic:pic>
                          </a:graphicData>
                        </a:graphic>
                      </wp:inline>
                    </w:drawing>
                  </w:r>
                </w:p>
              </w:tc>
              <w:tc>
                <w:tcPr>
                  <w:tcW w:type="dxa" w:w="5103"/>
                  <w:tcBorders>
                    <w:top w:val="nil"/>
                    <w:left w:val="nil"/>
                    <w:bottom w:val="nil"/>
                    <w:right w:val="nil"/>
                  </w:tcBorders>
                  <w:tcMar>
                    <w:top w:w="0" w:type="dxa"/>
                    <w:start w:w="0" w:type="dxa"/>
                    <w:bottom w:w="0" w:type="dxa"/>
                    <w:end w:w="0" w:type="dxa"/>
                  </w:tcMar>
                  <w:vAlign w:val="center"/>
                </w:tcPr>
                <w:p>
                  <w:pPr>
                    <w:spacing w:after="40" w:before="0" w:line="240" w:lineRule="auto"/>
                  </w:pPr>
                  <w:r>
                    <w:rPr>
                      <w:rFonts w:ascii="Inter" w:hAnsi="Inter" w:eastAsia="Inter"/>
                      <w:b/>
                      <w:i w:val="0"/>
                      <w:color w:val="D8A436"/>
                      <w:sz w:val="15"/>
                    </w:rPr>
                    <w:t>INTERNATIONAL CONFERENCE</w:t>
                  </w:r>
                </w:p>
                <w:p>
                  <w:pPr>
                    <w:spacing w:after="0" w:before="0" w:line="240" w:lineRule="auto"/>
                  </w:pPr>
                  <w:r>
                    <w:rPr>
                      <w:rFonts w:ascii="Noto Serif" w:hAnsi="Noto Serif" w:eastAsia="Noto Serif"/>
                      <w:b/>
                      <w:i w:val="0"/>
                      <w:color w:val="FFFFFF"/>
                      <w:sz w:val="40"/>
                    </w:rPr>
                    <w:t>MESD'26</w:t>
                  </w:r>
                </w:p>
              </w:tc>
            </w:tr>
          </w:tbl>
          <w:p>
            <w:pPr>
              <w:spacing w:after="180"/>
            </w:pPr>
            <w:r>
              <w:rPr>
                <w:rFonts w:ascii="Inter" w:hAnsi="Inter"/>
                <w:b/>
                <w:i w:val="0"/>
                <w:color w:val="D8A436"/>
                <w:sz w:val="22"/>
              </w:rPr>
              <w:t>20TH ANNIVERSARY EDITION  |  2006-2026</w:t>
            </w:r>
          </w:p>
          <w:p>
            <w:pPr>
              <w:spacing w:after="80" w:before="260" w:line="240" w:lineRule="auto"/>
            </w:pPr>
            <w:r>
              <w:rPr>
                <w:rFonts w:ascii="Inter" w:hAnsi="Inter" w:eastAsia="Inter"/>
                <w:b/>
                <w:i w:val="0"/>
                <w:color w:val="D8A436"/>
                <w:sz w:val="22"/>
              </w:rPr>
              <w:t>CALL FOR EXTENDED ABSTRACTS</w:t>
            </w:r>
          </w:p>
          <w:p>
            <w:pPr>
              <w:spacing w:after="40" w:before="0" w:line="240" w:lineRule="auto"/>
            </w:pPr>
            <w:r>
              <w:rPr>
                <w:rFonts w:ascii="Inter" w:hAnsi="Inter" w:eastAsia="Inter"/>
                <w:b/>
                <w:i w:val="0"/>
                <w:color w:val="D8A436"/>
                <w:sz w:val="13"/>
              </w:rPr>
              <w:t>CONFERENCE SCOPE</w:t>
            </w:r>
          </w:p>
          <w:p>
            <w:pPr>
              <w:spacing w:after="120" w:before="0" w:line="245" w:lineRule="auto"/>
            </w:pPr>
            <w:r>
              <w:rPr>
                <w:rFonts w:ascii="Inter" w:hAnsi="Inter" w:eastAsia="Inter"/>
                <w:b/>
                <w:i w:val="0"/>
                <w:color w:val="FFFFFF"/>
                <w:sz w:val="20"/>
              </w:rPr>
              <w:t>All topics related to the sustainable development of multinational enterprises</w:t>
            </w:r>
          </w:p>
          <w:p>
            <w:pPr>
              <w:spacing w:after="60" w:before="0" w:line="240" w:lineRule="auto"/>
            </w:pPr>
            <w:r>
              <w:rPr>
                <w:rFonts w:ascii="Inter" w:hAnsi="Inter" w:eastAsia="Inter"/>
                <w:b/>
                <w:i w:val="0"/>
                <w:color w:val="D8A436"/>
                <w:sz w:val="13"/>
              </w:rPr>
              <w:t>2026 THEMATIC FOCUS</w:t>
            </w:r>
          </w:p>
          <w:p>
            <w:pPr>
              <w:spacing w:after="180" w:before="0" w:line="233" w:lineRule="auto"/>
            </w:pPr>
            <w:r>
              <w:rPr>
                <w:rFonts w:ascii="Noto Serif" w:hAnsi="Noto Serif" w:eastAsia="Noto Serif"/>
                <w:b/>
                <w:i w:val="0"/>
                <w:color w:val="FFFFFF"/>
                <w:sz w:val="42"/>
              </w:rPr>
              <w:t>Multinational Enterprises, Sustainability and Responsibility in Times of Crisis</w:t>
            </w:r>
          </w:p>
          <w:tbl>
            <w:tblPr>
              <w:tblW w:type="auto" w:w="0"/>
              <w:tblLayout w:type="fixed"/>
              <w:tblLook w:firstColumn="1" w:firstRow="1" w:lastColumn="0" w:lastRow="0" w:noHBand="0" w:noVBand="1" w:val="04A0"/>
            </w:tblPr>
            <w:tblGrid>
              <w:gridCol w:w="4195"/>
              <w:gridCol w:w="5386"/>
            </w:tblGrid>
            <w:tr>
              <w:tc>
                <w:tcPr>
                  <w:tcW w:type="dxa" w:w="5103"/>
                  <w:tcBorders>
                    <w:top w:val="nil"/>
                    <w:left w:val="nil"/>
                    <w:bottom w:val="nil"/>
                    <w:right w:val="single" w:sz="8" w:space="0" w:color="4A9989"/>
                  </w:tcBorders>
                  <w:shd w:fill="0E6B58" w:val="clear"/>
                  <w:tcMar>
                    <w:top w:w="115" w:type="dxa"/>
                    <w:start w:w="150" w:type="dxa"/>
                    <w:bottom w:w="115" w:type="dxa"/>
                    <w:end w:w="150" w:type="dxa"/>
                  </w:tcMar>
                  <w:vAlign w:val="center"/>
                </w:tcPr>
                <w:p/>
                <w:p>
                  <w:pPr>
                    <w:spacing w:after="0" w:before="0" w:line="240" w:lineRule="auto"/>
                  </w:pPr>
                  <w:r>
                    <w:rPr>
                      <w:rFonts w:ascii="Inter" w:hAnsi="Inter" w:eastAsia="Inter"/>
                      <w:b/>
                      <w:i w:val="0"/>
                      <w:color w:val="D8A436"/>
                      <w:sz w:val="13"/>
                    </w:rPr>
                    <w:t>CONFERENCE DATES</w:t>
                  </w:r>
                </w:p>
                <w:p>
                  <w:pPr>
                    <w:spacing w:after="0" w:before="0" w:line="252" w:lineRule="auto"/>
                  </w:pPr>
                  <w:r>
                    <w:rPr>
                      <w:rFonts w:ascii="Inter" w:hAnsi="Inter" w:eastAsia="Inter"/>
                      <w:b/>
                      <w:i w:val="0"/>
                      <w:color w:val="FFFFFF"/>
                      <w:sz w:val="18"/>
                    </w:rPr>
                    <w:t>Thursday 10 &amp; Friday 11 December 2026</w:t>
                  </w:r>
                </w:p>
              </w:tc>
              <w:tc>
                <w:tcPr>
                  <w:tcW w:type="dxa" w:w="5103"/>
                  <w:tcBorders>
                    <w:top w:val="nil"/>
                    <w:left w:val="nil"/>
                    <w:bottom w:val="nil"/>
                    <w:right w:val="nil"/>
                  </w:tcBorders>
                  <w:shd w:fill="0E6B58" w:val="clear"/>
                  <w:tcMar>
                    <w:top w:w="115" w:type="dxa"/>
                    <w:start w:w="150" w:type="dxa"/>
                    <w:bottom w:w="115" w:type="dxa"/>
                    <w:end w:w="150" w:type="dxa"/>
                  </w:tcMar>
                  <w:vAlign w:val="center"/>
                </w:tcPr>
                <w:p/>
                <w:p>
                  <w:pPr>
                    <w:spacing w:after="0" w:before="0" w:line="240" w:lineRule="auto"/>
                  </w:pPr>
                  <w:r>
                    <w:rPr>
                      <w:rFonts w:ascii="Inter" w:hAnsi="Inter" w:eastAsia="Inter"/>
                      <w:b/>
                      <w:i w:val="0"/>
                      <w:color w:val="D8A436"/>
                      <w:sz w:val="13"/>
                    </w:rPr>
                    <w:t>VENUE</w:t>
                  </w:r>
                </w:p>
                <w:p>
                  <w:pPr>
                    <w:spacing w:after="0" w:before="0" w:line="252" w:lineRule="auto"/>
                  </w:pPr>
                  <w:r>
                    <w:rPr>
                      <w:rFonts w:ascii="Inter" w:hAnsi="Inter" w:eastAsia="Inter"/>
                      <w:b/>
                      <w:i w:val="0"/>
                      <w:color w:val="FFFFFF"/>
                      <w:sz w:val="18"/>
                    </w:rPr>
                    <w:t>ICN Business School - Berlin Campus, Germany</w:t>
                  </w:r>
                </w:p>
              </w:tc>
            </w:tr>
          </w:tbl>
          <w:p/>
        </w:tc>
      </w:tr>
    </w:tbl>
    <w:p>
      <w:pPr>
        <w:widowControl/>
        <w:spacing w:after="120" w:before="0" w:line="240" w:lineRule="auto"/>
      </w:pPr>
    </w:p>
    <w:tbl>
      <w:tblPr>
        <w:tblW w:type="auto" w:w="0"/>
        <w:jc w:val="center"/>
        <w:tblLayout w:type="fixed"/>
        <w:tblLook w:firstColumn="1" w:firstRow="1" w:lastColumn="0" w:lastRow="0" w:noHBand="0" w:noVBand="1" w:val="04A0"/>
      </w:tblPr>
      <w:tblGrid>
        <w:gridCol w:w="2381"/>
        <w:gridCol w:w="2381"/>
        <w:gridCol w:w="2381"/>
        <w:gridCol w:w="2381"/>
      </w:tblGrid>
      <w:tr>
        <w:tc>
          <w:tcPr>
            <w:tcW w:type="dxa" w:w="2551"/>
            <w:shd w:fill="E8F4EF" w:val="clear"/>
            <w:tcMar>
              <w:top w:w="100" w:type="dxa"/>
              <w:start w:w="100" w:type="dxa"/>
              <w:bottom w:w="100" w:type="dxa"/>
              <w:end w:w="100" w:type="dxa"/>
            </w:tcMar>
            <w:vAlign w:val="center"/>
            <w:tcBorders>
              <w:top w:val="single" w:sz="6" w:space="0" w:color="B9D8CD"/>
              <w:left w:val="single" w:sz="6" w:space="0" w:color="B9D8CD"/>
              <w:bottom w:val="single" w:sz="6" w:space="0" w:color="B9D8CD"/>
              <w:right w:val="single" w:sz="6" w:space="0" w:color="B9D8CD"/>
            </w:tcBorders>
          </w:tcPr>
          <w:p>
            <w:pPr>
              <w:spacing w:after="20" w:before="0" w:line="240" w:lineRule="auto"/>
              <w:jc w:val="center"/>
            </w:pPr>
            <w:r>
              <w:rPr>
                <w:rFonts w:ascii="Inter" w:hAnsi="Inter" w:eastAsia="Inter"/>
                <w:b/>
                <w:i w:val="0"/>
                <w:color w:val="0E6B58"/>
                <w:sz w:val="13"/>
              </w:rPr>
              <w:t>FORMAT</w:t>
            </w:r>
          </w:p>
          <w:p>
            <w:pPr>
              <w:spacing w:after="0" w:before="0" w:line="252" w:lineRule="auto"/>
              <w:jc w:val="center"/>
            </w:pPr>
            <w:r>
              <w:rPr>
                <w:rFonts w:ascii="Inter" w:hAnsi="Inter" w:eastAsia="Inter"/>
                <w:b/>
                <w:i w:val="0"/>
                <w:color w:val="17302B"/>
                <w:sz w:val="17"/>
              </w:rPr>
              <w:t>Extended abstract</w:t>
            </w:r>
          </w:p>
        </w:tc>
        <w:tc>
          <w:tcPr>
            <w:tcW w:type="dxa" w:w="2551"/>
            <w:shd w:fill="E8F4EF" w:val="clear"/>
            <w:tcMar>
              <w:top w:w="100" w:type="dxa"/>
              <w:start w:w="100" w:type="dxa"/>
              <w:bottom w:w="100" w:type="dxa"/>
              <w:end w:w="100" w:type="dxa"/>
            </w:tcMar>
            <w:vAlign w:val="center"/>
            <w:tcBorders>
              <w:top w:val="single" w:sz="6" w:space="0" w:color="B9D8CD"/>
              <w:left w:val="single" w:sz="6" w:space="0" w:color="B9D8CD"/>
              <w:bottom w:val="single" w:sz="6" w:space="0" w:color="B9D8CD"/>
              <w:right w:val="single" w:sz="6" w:space="0" w:color="B9D8CD"/>
            </w:tcBorders>
          </w:tcPr>
          <w:p>
            <w:pPr>
              <w:spacing w:after="20" w:before="0" w:line="240" w:lineRule="auto"/>
              <w:jc w:val="center"/>
            </w:pPr>
            <w:r>
              <w:rPr>
                <w:rFonts w:ascii="Inter" w:hAnsi="Inter" w:eastAsia="Inter"/>
                <w:b/>
                <w:i w:val="0"/>
                <w:color w:val="0E6B58"/>
                <w:sz w:val="13"/>
              </w:rPr>
              <w:t>LENGTH</w:t>
            </w:r>
          </w:p>
          <w:p>
            <w:pPr>
              <w:spacing w:after="0" w:before="0" w:line="252" w:lineRule="auto"/>
              <w:jc w:val="center"/>
            </w:pPr>
            <w:r>
              <w:rPr>
                <w:rFonts w:ascii="Inter" w:hAnsi="Inter" w:eastAsia="Inter"/>
                <w:b/>
                <w:i w:val="0"/>
                <w:color w:val="17302B"/>
                <w:sz w:val="17"/>
              </w:rPr>
              <w:t>Maximum 1,500 words</w:t>
            </w:r>
          </w:p>
        </w:tc>
        <w:tc>
          <w:tcPr>
            <w:tcW w:type="dxa" w:w="2551"/>
            <w:shd w:fill="E8F4EF" w:val="clear"/>
            <w:tcMar>
              <w:top w:w="100" w:type="dxa"/>
              <w:start w:w="100" w:type="dxa"/>
              <w:bottom w:w="100" w:type="dxa"/>
              <w:end w:w="100" w:type="dxa"/>
            </w:tcMar>
            <w:vAlign w:val="center"/>
            <w:tcBorders>
              <w:top w:val="single" w:sz="6" w:space="0" w:color="B9D8CD"/>
              <w:left w:val="single" w:sz="6" w:space="0" w:color="B9D8CD"/>
              <w:bottom w:val="single" w:sz="6" w:space="0" w:color="B9D8CD"/>
              <w:right w:val="single" w:sz="6" w:space="0" w:color="B9D8CD"/>
            </w:tcBorders>
          </w:tcPr>
          <w:p>
            <w:pPr>
              <w:spacing w:after="20" w:before="0" w:line="240" w:lineRule="auto"/>
              <w:jc w:val="center"/>
            </w:pPr>
            <w:r>
              <w:rPr>
                <w:rFonts w:ascii="Inter" w:hAnsi="Inter" w:eastAsia="Inter"/>
                <w:b/>
                <w:i w:val="0"/>
                <w:color w:val="0E6B58"/>
                <w:sz w:val="13"/>
              </w:rPr>
              <w:t>LANGUAGE</w:t>
            </w:r>
          </w:p>
          <w:p>
            <w:pPr>
              <w:spacing w:after="0" w:before="0" w:line="252" w:lineRule="auto"/>
              <w:jc w:val="center"/>
            </w:pPr>
            <w:r>
              <w:rPr>
                <w:rFonts w:ascii="Inter" w:hAnsi="Inter" w:eastAsia="Inter"/>
                <w:b/>
                <w:i w:val="0"/>
                <w:color w:val="17302B"/>
                <w:sz w:val="17"/>
              </w:rPr>
              <w:t>English</w:t>
            </w:r>
          </w:p>
        </w:tc>
        <w:tc>
          <w:tcPr>
            <w:tcW w:type="dxa" w:w="2551"/>
            <w:shd w:fill="E8F4EF" w:val="clear"/>
            <w:tcMar>
              <w:top w:w="100" w:type="dxa"/>
              <w:start w:w="100" w:type="dxa"/>
              <w:bottom w:w="100" w:type="dxa"/>
              <w:end w:w="100" w:type="dxa"/>
            </w:tcMar>
            <w:vAlign w:val="center"/>
            <w:tcBorders>
              <w:top w:val="single" w:sz="6" w:space="0" w:color="B9D8CD"/>
              <w:left w:val="single" w:sz="6" w:space="0" w:color="B9D8CD"/>
              <w:bottom w:val="single" w:sz="6" w:space="0" w:color="B9D8CD"/>
              <w:right w:val="single" w:sz="6" w:space="0" w:color="B9D8CD"/>
            </w:tcBorders>
          </w:tcPr>
          <w:p>
            <w:pPr>
              <w:spacing w:after="20" w:before="0" w:line="240" w:lineRule="auto"/>
              <w:jc w:val="center"/>
            </w:pPr>
            <w:r>
              <w:rPr>
                <w:rFonts w:ascii="Inter" w:hAnsi="Inter" w:eastAsia="Inter"/>
                <w:b/>
                <w:i w:val="0"/>
                <w:color w:val="0E6B58"/>
                <w:sz w:val="13"/>
              </w:rPr>
              <w:t>FULL PAPER</w:t>
            </w:r>
          </w:p>
          <w:p>
            <w:pPr>
              <w:spacing w:after="0" w:before="0" w:line="252" w:lineRule="auto"/>
              <w:jc w:val="center"/>
            </w:pPr>
            <w:r>
              <w:rPr>
                <w:rFonts w:ascii="Inter" w:hAnsi="Inter" w:eastAsia="Inter"/>
                <w:b/>
                <w:i w:val="0"/>
                <w:color w:val="17302B"/>
                <w:sz w:val="17"/>
              </w:rPr>
              <w:t>Not required</w:t>
            </w:r>
          </w:p>
        </w:tc>
      </w:tr>
    </w:tbl>
    <w:p>
      <w:pPr>
        <w:keepNext/>
        <w:widowControl/>
        <w:spacing w:after="40" w:before="100" w:line="240" w:lineRule="auto"/>
      </w:pPr>
      <w:r>
        <w:rPr>
          <w:rFonts w:ascii="Inter" w:hAnsi="Inter" w:eastAsia="Inter"/>
          <w:b/>
          <w:i w:val="0"/>
          <w:color w:val="D8A436"/>
          <w:sz w:val="14"/>
        </w:rPr>
        <w:t>ABOUT THE CONFERENCE</w:t>
      </w:r>
    </w:p>
    <w:p>
      <w:pPr>
        <w:keepNext/>
        <w:widowControl/>
        <w:spacing w:after="180" w:before="0" w:line="252" w:lineRule="auto"/>
      </w:pPr>
      <w:r>
        <w:rPr>
          <w:rFonts w:ascii="Noto Serif" w:hAnsi="Noto Serif" w:eastAsia="Noto Serif"/>
          <w:b/>
          <w:i w:val="0"/>
          <w:color w:val="17302B"/>
          <w:sz w:val="36"/>
        </w:rPr>
        <w:t>Twenty years of MESD: a broad international forum</w:t>
      </w:r>
    </w:p>
    <w:p>
      <w:pPr>
        <w:widowControl/>
        <w:spacing w:after="140" w:before="0" w:line="283" w:lineRule="auto"/>
      </w:pPr>
      <w:r>
        <w:rPr>
          <w:rFonts w:ascii="Inter" w:hAnsi="Inter" w:eastAsia="Inter"/>
          <w:b w:val="0"/>
          <w:i w:val="0"/>
          <w:color w:val="2F4B45"/>
          <w:sz w:val="18"/>
        </w:rPr>
        <w:t>MESD'26 marks twenty years since the first MESD International Conference in 2006. Hosted at ICN Business School - Berlin Campus with partner academic institutions, the anniversary edition welcomes contributions on all topics related to the sustainable development of multinational enterprises while placing special emphasis on sustainability and responsibility under crisis conditions.</w:t>
      </w:r>
    </w:p>
    <w:tbl>
      <w:tblPr>
        <w:tblW w:type="auto" w:w="0"/>
        <w:jc w:val="center"/>
        <w:tblLayout w:type="fixed"/>
        <w:tblLook w:firstColumn="1" w:firstRow="1" w:lastColumn="0" w:lastRow="0" w:noHBand="0" w:noVBand="1" w:val="04A0"/>
      </w:tblPr>
      <w:tblGrid>
        <w:gridCol w:w="130"/>
        <w:gridCol w:w="9411"/>
      </w:tblGrid>
      <w:tr>
        <w:tc>
          <w:tcPr>
            <w:tcW w:type="dxa" w:w="5103"/>
            <w:tcBorders>
              <w:top w:val="nil"/>
              <w:left w:val="nil"/>
              <w:bottom w:val="nil"/>
              <w:right w:val="nil"/>
            </w:tcBorders>
            <w:shd w:fill="D8A436" w:val="clear"/>
            <w:tcMar>
              <w:top w:w="0" w:type="dxa"/>
              <w:start w:w="0" w:type="dxa"/>
              <w:bottom w:w="0" w:type="dxa"/>
              <w:end w:w="0" w:type="dxa"/>
            </w:tcMar>
          </w:tcPr>
          <w:p/>
        </w:tc>
        <w:tc>
          <w:tcPr>
            <w:tcW w:type="dxa" w:w="5103"/>
            <w:tcBorders>
              <w:top w:val="nil"/>
              <w:left w:val="nil"/>
              <w:bottom w:val="nil"/>
              <w:right w:val="nil"/>
            </w:tcBorders>
            <w:shd w:fill="FFF8E6" w:val="clear"/>
            <w:tcMar>
              <w:top w:w="125" w:type="dxa"/>
              <w:start w:w="165" w:type="dxa"/>
              <w:bottom w:w="125" w:type="dxa"/>
              <w:end w:w="165" w:type="dxa"/>
            </w:tcMar>
          </w:tcPr>
          <CT_P>
            <w:pPr>
              <w:spacing w:after="80"/>
            </w:pPr>
            <w:r>
              <w:rPr>
                <w:rFonts w:ascii="Inter" w:hAnsi="Inter"/>
                <w:b/>
                <w:color w:val="D8A436"/>
                <w:sz w:val="17"/>
              </w:rPr>
              <w:t>20TH ANNIVERSARY EDITION  |  2006-2026</w:t>
            </w:r>
          </CT_P>
          <w:p>
            <w:pPr>
              <w:spacing w:after="40" w:before="0" w:line="240" w:lineRule="auto"/>
            </w:pPr>
            <w:r>
              <w:rPr>
                <w:rFonts w:ascii="Inter" w:hAnsi="Inter" w:eastAsia="Inter"/>
                <w:b/>
                <w:i w:val="0"/>
                <w:color w:val="D8A436"/>
                <w:sz w:val="13"/>
              </w:rPr>
              <w:t>CONFERENCE SCOPE</w:t>
            </w:r>
          </w:p>
          <w:p>
            <w:pPr>
              <w:spacing w:after="100" w:before="0" w:line="257" w:lineRule="auto"/>
            </w:pPr>
            <w:r>
              <w:rPr>
                <w:rFonts w:ascii="Inter" w:hAnsi="Inter" w:eastAsia="Inter"/>
                <w:b/>
                <w:i w:val="0"/>
                <w:color w:val="17302B"/>
                <w:sz w:val="19"/>
              </w:rPr>
              <w:t>All topics related to the sustainable development of multinational enterprises are welcome.</w:t>
            </w:r>
          </w:p>
          <w:p>
            <w:pPr>
              <w:spacing w:after="40" w:before="0" w:line="240" w:lineRule="auto"/>
            </w:pPr>
            <w:r>
              <w:rPr>
                <w:rFonts w:ascii="Inter" w:hAnsi="Inter" w:eastAsia="Inter"/>
                <w:b/>
                <w:i w:val="0"/>
                <w:color w:val="D8A436"/>
                <w:sz w:val="13"/>
              </w:rPr>
              <w:t>2026 THEMATIC FOCUS</w:t>
            </w:r>
          </w:p>
          <w:p>
            <w:pPr>
              <w:spacing w:after="0" w:before="0" w:line="257" w:lineRule="auto"/>
            </w:pPr>
            <w:r>
              <w:rPr>
                <w:rFonts w:ascii="Inter" w:hAnsi="Inter" w:eastAsia="Inter"/>
                <w:b/>
                <w:i w:val="0"/>
                <w:color w:val="17302B"/>
                <w:sz w:val="21"/>
              </w:rPr>
              <w:t>Multinational Enterprises, Sustainability and Responsibility in Times of Crisis</w:t>
            </w:r>
          </w:p>
        </w:tc>
      </w:tr>
    </w:tbl>
    <w:p>
      <w:pPr>
        <w:keepNext/>
        <w:widowControl/>
        <w:spacing w:after="40" w:before="40" w:line="240" w:lineRule="auto"/>
      </w:pPr>
      <w:r>
        <w:rPr>
          <w:rFonts w:ascii="Inter" w:hAnsi="Inter" w:eastAsia="Inter"/>
          <w:b/>
          <w:i w:val="0"/>
          <w:color w:val="D8A436"/>
          <w:sz w:val="14"/>
        </w:rPr>
        <w:t>CONTEXT</w:t>
      </w:r>
    </w:p>
    <w:p>
      <w:pPr>
        <w:keepNext/>
        <w:widowControl/>
        <w:spacing w:after="120" w:before="0" w:line="252" w:lineRule="auto"/>
      </w:pPr>
      <w:r>
        <w:rPr>
          <w:rFonts w:ascii="Noto Serif" w:hAnsi="Noto Serif" w:eastAsia="Noto Serif"/>
          <w:b/>
          <w:i w:val="0"/>
          <w:color w:val="17302B"/>
          <w:sz w:val="30"/>
        </w:rPr>
        <w:t>Why this theme matters</w:t>
      </w:r>
    </w:p>
    <w:p>
      <w:pPr>
        <w:widowControl/>
        <w:spacing w:after="100" w:before="0" w:line="283" w:lineRule="auto"/>
      </w:pPr>
      <w:r>
        <w:rPr>
          <w:rFonts w:ascii="Inter" w:hAnsi="Inter" w:eastAsia="Inter"/>
          <w:b w:val="0"/>
          <w:i w:val="0"/>
          <w:color w:val="2F4B45"/>
          <w:sz w:val="17"/>
        </w:rPr>
        <w:t>The contemporary world is characterized by multiple, overlapping crises including geopolitical tensions, armed conflicts, climate change, biodiversity loss, pandemics, energy shocks, and rising social inequalities. These crises profoundly reshape the environment in which multinational enterprises (MNEs) operate and intensify expectations regarding their responsibility, accountability, and contribution to sustainable development.</w:t>
      </w:r>
    </w:p>
    <w:p>
      <w:pPr>
        <w:widowControl/>
        <w:spacing w:after="100" w:before="0" w:line="283" w:lineRule="auto"/>
      </w:pPr>
      <w:r>
        <w:rPr>
          <w:rFonts w:ascii="Inter" w:hAnsi="Inter" w:eastAsia="Inter"/>
          <w:b w:val="0"/>
          <w:i w:val="0"/>
          <w:color w:val="2F4B45"/>
          <w:sz w:val="17"/>
        </w:rPr>
        <w:t>Since the adoption of the United Nations 2030 Agenda for Sustainable Development, governments, international institutions, firms, and civil society actors have sought to promote more sustainable, inclusive, and responsible forms of economic development. However, periods of crisis often exacerbate tensions between short-term economic survival and long-term sustainability objectives. Multinational enterprises are thus confronted with difficult strategic choices, ethical dilemmas, and heightened institutional pressures.</w:t>
      </w:r>
    </w:p>
    <w:p>
      <w:pPr>
        <w:widowControl/>
        <w:spacing w:after="0" w:before="0" w:line="283" w:lineRule="auto"/>
      </w:pPr>
      <w:r>
        <w:rPr>
          <w:rFonts w:ascii="Inter" w:hAnsi="Inter" w:eastAsia="Inter"/>
          <w:b/>
          <w:i w:val="0"/>
          <w:color w:val="0E6B58"/>
          <w:sz w:val="17"/>
        </w:rPr>
        <w:t>The 20th anniversary celebrates the breadth of the MESD research community developed since 2006. Within this broad scope, the 2026 thematic focus examines how multinational enterprises respond to crises, how sustainability and responsibility commitments evolve under pressure, and whether crises become barriers or catalysts for transformation. Special Focus and General MESD tracks ensure that both crisis-related work and the wider MESD field are clearly represented.</w:t>
      </w:r>
    </w:p>
    <w:p>
      <w:pPr>
        <w:widowControl/>
      </w:pPr>
      <w:r>
        <w:br w:type="page"/>
      </w:r>
    </w:p>
    <w:tbl>
      <w:tblPr>
        <w:tblW w:type="auto" w:w="0"/>
        <w:jc w:val="center"/>
        <w:tblLayout w:type="fixed"/>
        <w:tblLook w:firstColumn="1" w:firstRow="1" w:lastColumn="0" w:lastRow="0" w:noHBand="0" w:noVBand="1" w:val="04A0"/>
      </w:tblPr>
      <w:tblGrid>
        <w:gridCol w:w="2381"/>
        <w:gridCol w:w="7087"/>
      </w:tblGrid>
      <w:tr>
        <w:tc>
          <w:tcPr>
            <w:tcW w:type="dxa" w:w="5103"/>
            <w:tcBorders>
              <w:top w:val="nil"/>
              <w:left w:val="nil"/>
              <w:bottom w:val="nil"/>
              <w:right w:val="nil"/>
            </w:tcBorders>
            <w:tcMar>
              <w:top w:w="55" w:type="dxa"/>
              <w:start w:w="0" w:type="dxa"/>
              <w:bottom w:w="55" w:type="dxa"/>
              <w:end w:w="0" w:type="dxa"/>
            </w:tcMar>
            <w:vAlign w:val="center"/>
          </w:tcPr>
          <w:p>
            <w:pPr>
              <w:spacing w:after="0" w:before="0" w:line="240" w:lineRule="auto"/>
            </w:pPr>
            <w:r>
              <w:rPr>
                <w:rFonts w:ascii="Inter" w:hAnsi="Inter" w:eastAsia="Inter"/>
                <w:b/>
                <w:i w:val="0"/>
                <w:color w:val="0E6B58"/>
                <w:sz w:val="24"/>
              </w:rPr>
              <w:t>MESD'26</w:t>
            </w:r>
          </w:p>
        </w:tc>
        <w:tc>
          <w:tcPr>
            <w:tcW w:type="dxa" w:w="5103"/>
            <w:tcBorders>
              <w:top w:val="nil"/>
              <w:left w:val="nil"/>
              <w:bottom w:val="nil"/>
              <w:right w:val="nil"/>
            </w:tcBorders>
            <w:tcMar>
              <w:top w:w="55" w:type="dxa"/>
              <w:start w:w="0" w:type="dxa"/>
              <w:bottom w:w="55" w:type="dxa"/>
              <w:end w:w="0" w:type="dxa"/>
            </w:tcMar>
            <w:vAlign w:val="center"/>
          </w:tcPr>
          <w:p>
            <w:pPr>
              <w:spacing w:after="0" w:before="0" w:line="240" w:lineRule="auto"/>
              <w:jc w:val="right"/>
            </w:pPr>
            <w:r>
              <w:rPr>
                <w:rFonts w:ascii="Inter" w:hAnsi="Inter" w:eastAsia="Inter"/>
                <w:b/>
                <w:i w:val="0"/>
                <w:color w:val="61736D"/>
                <w:sz w:val="15"/>
              </w:rPr>
              <w:t>2026 SPECIAL FOCUS TRACKS</w:t>
            </w:r>
          </w:p>
        </w:tc>
      </w:tr>
    </w:tbl>
    <w:p>
      <w:pPr>
        <w:spacing w:after="160" w:before="0" w:line="240" w:lineRule="auto"/>
        <w:widowControl/>
        <w:pBdr>
          <w:bottom w:val="single" w:sz="6" w:space="0" w:color="D8E2DE"/>
        </w:pBdr>
      </w:pPr>
    </w:p>
    <w:p>
      <w:pPr>
        <w:keepNext/>
        <w:widowControl/>
        <w:spacing w:after="40" w:before="40" w:line="240" w:lineRule="auto"/>
      </w:pPr>
      <w:r>
        <w:rPr>
          <w:rFonts w:ascii="Inter" w:hAnsi="Inter" w:eastAsia="Inter"/>
          <w:b/>
          <w:i w:val="0"/>
          <w:color w:val="D8A436"/>
          <w:sz w:val="14"/>
        </w:rPr>
        <w:t>2026 SPECIAL FOCUS TRACKS</w:t>
      </w:r>
    </w:p>
    <w:p>
      <w:pPr>
        <w:keepNext/>
        <w:widowControl/>
        <w:spacing w:after="120" w:before="0" w:line="252" w:lineRule="auto"/>
      </w:pPr>
      <w:r>
        <w:rPr>
          <w:rFonts w:ascii="Noto Serif" w:hAnsi="Noto Serif" w:eastAsia="Noto Serif"/>
          <w:b/>
          <w:i w:val="0"/>
          <w:color w:val="17302B"/>
          <w:sz w:val="30"/>
        </w:rPr>
        <w:t>Crisis-centered perspectives for research and debate</w:t>
      </w:r>
    </w:p>
    <w:p>
      <w:pPr>
        <w:widowControl/>
        <w:spacing w:after="160" w:before="0" w:line="283" w:lineRule="auto"/>
      </w:pPr>
      <w:r>
        <w:rPr>
          <w:rFonts w:ascii="Inter" w:hAnsi="Inter" w:eastAsia="Inter"/>
          <w:b w:val="0"/>
          <w:i w:val="0"/>
          <w:color w:val="2F4B45"/>
          <w:sz w:val="18"/>
        </w:rPr>
        <w:t>Choose a Special Focus track when crisis conditions, pressures, or responses are central to the contribution. Authors working on the wider MESD field should select one of the General MESD tracks on the following page.</w:t>
      </w:r>
    </w:p>
    <w:tbl>
      <w:tblPr>
        <w:tblW w:type="auto" w:w="0"/>
        <w:jc w:val="center"/>
        <w:tblLayout w:type="fixed"/>
        <w:tblLook w:firstColumn="1" w:firstRow="1" w:lastColumn="0" w:lastRow="0" w:noHBand="0" w:noVBand="1" w:val="04A0"/>
      </w:tblPr>
      <w:tblGrid>
        <w:gridCol w:w="4620"/>
        <w:gridCol w:w="4620"/>
      </w:tblGrid>
      <w:tr>
        <w:trPr>
          <w:cantSplit/>
          <w:trHeight w:hRule="atLeast"/>
        </w:trPr>
        <w:tc>
          <w:tcPr>
            <w:tcW w:type="dxa" w:w="5103"/>
            <w:shd w:fill="FFFFFF"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SF1</w:t>
            </w:r>
          </w:p>
          <w:p>
            <w:pPr>
              <w:keepNext/>
              <w:spacing w:after="100" w:before="0" w:line="254" w:lineRule="auto"/>
            </w:pPr>
            <w:r>
              <w:rPr>
                <w:rFonts w:ascii="Inter" w:hAnsi="Inter" w:eastAsia="Inter"/>
                <w:b/>
                <w:i w:val="0"/>
                <w:color w:val="0E6B58"/>
                <w:sz w:val="20"/>
              </w:rPr>
              <w:t>Multinational Enterprises and Global Crises</w:t>
            </w:r>
          </w:p>
          <w:p>
            <w:pPr>
              <w:pStyle w:val="ListBullet"/>
              <w:spacing w:after="22" w:before="0" w:line="259" w:lineRule="auto"/>
              <w:ind w:left="255" w:hanging="136"/>
            </w:pPr>
            <w:r>
              <w:rPr>
                <w:rFonts w:ascii="Inter" w:hAnsi="Inter" w:eastAsia="Inter"/>
                <w:b w:val="0"/>
                <w:i w:val="0"/>
                <w:color w:val="2F4B45"/>
                <w:sz w:val="16"/>
              </w:rPr>
              <w:t>Geopolitical instability, sanctions, and international conflicts</w:t>
            </w:r>
          </w:p>
          <w:p>
            <w:pPr>
              <w:pStyle w:val="ListBullet"/>
              <w:spacing w:after="22" w:before="0" w:line="259" w:lineRule="auto"/>
              <w:ind w:left="255" w:hanging="136"/>
            </w:pPr>
            <w:r>
              <w:rPr>
                <w:rFonts w:ascii="Inter" w:hAnsi="Inter" w:eastAsia="Inter"/>
                <w:b w:val="0"/>
                <w:i w:val="0"/>
                <w:color w:val="2F4B45"/>
                <w:sz w:val="16"/>
              </w:rPr>
              <w:t>Pandemics and health crises</w:t>
            </w:r>
          </w:p>
          <w:p>
            <w:pPr>
              <w:pStyle w:val="ListBullet"/>
              <w:spacing w:after="22" w:before="0" w:line="259" w:lineRule="auto"/>
              <w:ind w:left="255" w:hanging="136"/>
            </w:pPr>
            <w:r>
              <w:rPr>
                <w:rFonts w:ascii="Inter" w:hAnsi="Inter" w:eastAsia="Inter"/>
                <w:b w:val="0"/>
                <w:i w:val="0"/>
                <w:color w:val="2F4B45"/>
                <w:sz w:val="16"/>
              </w:rPr>
              <w:t>Climate change and environmental shocks</w:t>
            </w:r>
          </w:p>
          <w:p>
            <w:pPr>
              <w:pStyle w:val="ListBullet"/>
              <w:spacing w:after="22" w:before="0" w:line="259" w:lineRule="auto"/>
              <w:ind w:left="255" w:hanging="136"/>
            </w:pPr>
            <w:r>
              <w:rPr>
                <w:rFonts w:ascii="Inter" w:hAnsi="Inter" w:eastAsia="Inter"/>
                <w:b w:val="0"/>
                <w:i w:val="0"/>
                <w:color w:val="2F4B45"/>
                <w:sz w:val="16"/>
              </w:rPr>
              <w:t>Social crises, inequality, and labor issues</w:t>
            </w:r>
          </w:p>
        </w:tc>
        <w:tc>
          <w:tcPr>
            <w:tcW w:type="dxa" w:w="5103"/>
            <w:shd w:fill="F7F5EE"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SF2</w:t>
            </w:r>
          </w:p>
          <w:p>
            <w:pPr>
              <w:keepNext/>
              <w:spacing w:after="100" w:before="0" w:line="254" w:lineRule="auto"/>
            </w:pPr>
            <w:r>
              <w:rPr>
                <w:rFonts w:ascii="Inter" w:hAnsi="Inter" w:eastAsia="Inter"/>
                <w:b/>
                <w:i w:val="0"/>
                <w:color w:val="0E6B58"/>
                <w:sz w:val="20"/>
              </w:rPr>
              <w:t>Sustainability and Corporate Responsibility under Pressure</w:t>
            </w:r>
          </w:p>
          <w:p>
            <w:pPr>
              <w:pStyle w:val="ListBullet"/>
              <w:spacing w:after="22" w:before="0" w:line="259" w:lineRule="auto"/>
              <w:ind w:left="255" w:hanging="136"/>
            </w:pPr>
            <w:r>
              <w:rPr>
                <w:rFonts w:ascii="Inter" w:hAnsi="Inter" w:eastAsia="Inter"/>
                <w:b w:val="0"/>
                <w:i w:val="0"/>
                <w:color w:val="2F4B45"/>
                <w:sz w:val="16"/>
              </w:rPr>
              <w:t>CSR and ESG strategies in times of crisis</w:t>
            </w:r>
          </w:p>
          <w:p>
            <w:pPr>
              <w:pStyle w:val="ListBullet"/>
              <w:spacing w:after="22" w:before="0" w:line="259" w:lineRule="auto"/>
              <w:ind w:left="255" w:hanging="136"/>
            </w:pPr>
            <w:r>
              <w:rPr>
                <w:rFonts w:ascii="Inter" w:hAnsi="Inter" w:eastAsia="Inter"/>
                <w:b w:val="0"/>
                <w:i w:val="0"/>
                <w:color w:val="2F4B45"/>
                <w:sz w:val="16"/>
              </w:rPr>
              <w:t>Short-term performance versus long-term sustainability</w:t>
            </w:r>
          </w:p>
          <w:p>
            <w:pPr>
              <w:pStyle w:val="ListBullet"/>
              <w:spacing w:after="22" w:before="0" w:line="259" w:lineRule="auto"/>
              <w:ind w:left="255" w:hanging="136"/>
            </w:pPr>
            <w:r>
              <w:rPr>
                <w:rFonts w:ascii="Inter" w:hAnsi="Inter" w:eastAsia="Inter"/>
                <w:b w:val="0"/>
                <w:i w:val="0"/>
                <w:color w:val="2F4B45"/>
                <w:sz w:val="16"/>
              </w:rPr>
              <w:t>Human rights, due diligence, and responsible sourcing</w:t>
            </w:r>
          </w:p>
        </w:tc>
      </w:tr>
      <w:tr>
        <w:trPr>
          <w:cantSplit/>
          <w:trHeight w:hRule="atLeast"/>
        </w:trPr>
        <w:tc>
          <w:tcPr>
            <w:tcW w:type="dxa" w:w="5103"/>
            <w:shd w:fill="F7F5EE"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SF3</w:t>
            </w:r>
          </w:p>
          <w:p>
            <w:pPr>
              <w:keepNext/>
              <w:spacing w:after="100" w:before="0" w:line="254" w:lineRule="auto"/>
            </w:pPr>
            <w:r>
              <w:rPr>
                <w:rFonts w:ascii="Inter" w:hAnsi="Inter" w:eastAsia="Inter"/>
                <w:b/>
                <w:i w:val="0"/>
                <w:color w:val="0E6B58"/>
                <w:sz w:val="20"/>
              </w:rPr>
              <w:t>Governance, Regulation and Institutional Pressures</w:t>
            </w:r>
          </w:p>
          <w:p>
            <w:pPr>
              <w:pStyle w:val="ListBullet"/>
              <w:spacing w:after="22" w:before="0" w:line="259" w:lineRule="auto"/>
              <w:ind w:left="255" w:hanging="136"/>
            </w:pPr>
            <w:r>
              <w:rPr>
                <w:rFonts w:ascii="Inter" w:hAnsi="Inter" w:eastAsia="Inter"/>
                <w:b w:val="0"/>
                <w:i w:val="0"/>
                <w:color w:val="2F4B45"/>
                <w:sz w:val="16"/>
              </w:rPr>
              <w:t>Sustainability regulation and reporting requirements</w:t>
            </w:r>
          </w:p>
          <w:p>
            <w:pPr>
              <w:pStyle w:val="ListBullet"/>
              <w:spacing w:after="22" w:before="0" w:line="259" w:lineRule="auto"/>
              <w:ind w:left="255" w:hanging="136"/>
            </w:pPr>
            <w:r>
              <w:rPr>
                <w:rFonts w:ascii="Inter" w:hAnsi="Inter" w:eastAsia="Inter"/>
                <w:b w:val="0"/>
                <w:i w:val="0"/>
                <w:color w:val="2F4B45"/>
                <w:sz w:val="16"/>
              </w:rPr>
              <w:t>Institutional pressures, regulatory responses and organizational legitimacy</w:t>
            </w:r>
          </w:p>
          <w:p>
            <w:pPr>
              <w:pStyle w:val="ListBullet"/>
              <w:spacing w:after="22" w:before="0" w:line="259" w:lineRule="auto"/>
              <w:ind w:left="255" w:hanging="136"/>
            </w:pPr>
            <w:r>
              <w:rPr>
                <w:rFonts w:ascii="Inter" w:hAnsi="Inter" w:eastAsia="Inter"/>
                <w:b w:val="0"/>
                <w:i w:val="0"/>
                <w:color w:val="2F4B45"/>
                <w:sz w:val="16"/>
              </w:rPr>
              <w:t>Role of states, international organizations, and civil society</w:t>
            </w:r>
          </w:p>
        </w:tc>
        <w:tc>
          <w:tcPr>
            <w:tcW w:type="dxa" w:w="5103"/>
            <w:shd w:fill="FFFFFF"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SF4</w:t>
            </w:r>
          </w:p>
          <w:p>
            <w:pPr>
              <w:keepNext/>
              <w:spacing w:after="100" w:before="0" w:line="254" w:lineRule="auto"/>
            </w:pPr>
            <w:r>
              <w:rPr>
                <w:rFonts w:ascii="Inter" w:hAnsi="Inter" w:eastAsia="Inter"/>
                <w:b/>
                <w:i w:val="0"/>
                <w:color w:val="0E6B58"/>
                <w:sz w:val="20"/>
              </w:rPr>
              <w:t>Innovation, Resilience and Business Model Transformation</w:t>
            </w:r>
          </w:p>
          <w:p>
            <w:pPr>
              <w:pStyle w:val="ListBullet"/>
              <w:spacing w:after="22" w:before="0" w:line="259" w:lineRule="auto"/>
              <w:ind w:left="255" w:hanging="136"/>
            </w:pPr>
            <w:r>
              <w:rPr>
                <w:rFonts w:ascii="Inter" w:hAnsi="Inter" w:eastAsia="Inter"/>
                <w:b w:val="0"/>
                <w:i w:val="0"/>
                <w:color w:val="2F4B45"/>
                <w:sz w:val="16"/>
              </w:rPr>
              <w:t>Sustainable and digital innovation under crisis conditions</w:t>
            </w:r>
          </w:p>
          <w:p>
            <w:pPr>
              <w:pStyle w:val="ListBullet"/>
              <w:spacing w:after="22" w:before="0" w:line="259" w:lineRule="auto"/>
              <w:ind w:left="255" w:hanging="136"/>
            </w:pPr>
            <w:r>
              <w:rPr>
                <w:rFonts w:ascii="Inter" w:hAnsi="Inter" w:eastAsia="Inter"/>
                <w:b w:val="0"/>
                <w:i w:val="0"/>
                <w:color w:val="2F4B45"/>
                <w:sz w:val="16"/>
              </w:rPr>
              <w:t>Organizational adaptation, renewal and transformative capabilities</w:t>
            </w:r>
          </w:p>
          <w:p>
            <w:pPr>
              <w:pStyle w:val="ListBullet"/>
              <w:spacing w:after="22" w:before="0" w:line="259" w:lineRule="auto"/>
              <w:ind w:left="255" w:hanging="136"/>
            </w:pPr>
            <w:r>
              <w:rPr>
                <w:rFonts w:ascii="Inter" w:hAnsi="Inter" w:eastAsia="Inter"/>
                <w:b w:val="0"/>
                <w:i w:val="0"/>
                <w:color w:val="2F4B45"/>
                <w:sz w:val="16"/>
              </w:rPr>
              <w:t>Circular economy and transformative business models</w:t>
            </w:r>
          </w:p>
        </w:tc>
      </w:tr>
      <w:tr>
        <w:trPr>
          <w:cantSplit/>
          <w:trHeight w:hRule="atLeast"/>
        </w:trPr>
        <w:tc>
          <w:tcPr>
            <w:tcW w:type="dxa" w:w="10206"/>
            <w:gridSpan w:val="2"/>
            <w:shd w:fill="E8F4EF"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SF5</w:t>
            </w:r>
          </w:p>
          <w:p>
            <w:pPr>
              <w:keepNext/>
              <w:spacing w:after="100" w:before="0" w:line="254" w:lineRule="auto"/>
            </w:pPr>
            <w:r>
              <w:rPr>
                <w:rFonts w:ascii="Inter" w:hAnsi="Inter" w:eastAsia="Inter"/>
                <w:b/>
                <w:i w:val="0"/>
                <w:color w:val="0E6B58"/>
                <w:sz w:val="20"/>
              </w:rPr>
              <w:t>Discourses, Practices and Critical Perspectives</w:t>
            </w:r>
          </w:p>
          <w:p>
            <w:pPr>
              <w:pStyle w:val="ListBullet"/>
              <w:spacing w:after="22" w:before="0" w:line="259" w:lineRule="auto"/>
              <w:ind w:left="255" w:hanging="136"/>
            </w:pPr>
            <w:r>
              <w:rPr>
                <w:rFonts w:ascii="Inter" w:hAnsi="Inter" w:eastAsia="Inter"/>
                <w:b w:val="0"/>
                <w:i w:val="0"/>
                <w:color w:val="2F4B45"/>
                <w:sz w:val="16"/>
              </w:rPr>
              <w:t>Greenwashing and symbolic compliance</w:t>
            </w:r>
          </w:p>
          <w:p>
            <w:pPr>
              <w:pStyle w:val="ListBullet"/>
              <w:spacing w:after="22" w:before="0" w:line="259" w:lineRule="auto"/>
              <w:ind w:left="255" w:hanging="136"/>
            </w:pPr>
            <w:r>
              <w:rPr>
                <w:rFonts w:ascii="Inter" w:hAnsi="Inter" w:eastAsia="Inter"/>
                <w:b w:val="0"/>
                <w:i w:val="0"/>
                <w:color w:val="2F4B45"/>
                <w:sz w:val="16"/>
              </w:rPr>
              <w:t>Measuring real sustainability impacts</w:t>
            </w:r>
          </w:p>
          <w:p>
            <w:pPr>
              <w:pStyle w:val="ListBullet"/>
              <w:spacing w:after="22" w:before="0" w:line="259" w:lineRule="auto"/>
              <w:ind w:left="255" w:hanging="136"/>
            </w:pPr>
            <w:r>
              <w:rPr>
                <w:rFonts w:ascii="Inter" w:hAnsi="Inter" w:eastAsia="Inter"/>
                <w:b w:val="0"/>
                <w:i w:val="0"/>
                <w:color w:val="2F4B45"/>
                <w:sz w:val="16"/>
              </w:rPr>
              <w:t>Ethical dilemmas and accountability of multinational enterprises</w:t>
            </w:r>
          </w:p>
        </w:tc>
      </w:tr>
    </w:tbl>
    <w:p>
      <w:pPr>
        <w:widowControl/>
        <w:spacing w:after="100" w:before="160" w:line="240" w:lineRule="auto"/>
      </w:pPr>
    </w:p>
    <w:p>
      <w:r>
        <w:br w:type="page"/>
      </w:r>
    </w:p>
    <w:tbl>
      <w:tblPr>
        <w:tblW w:type="auto" w:w="0"/>
        <w:jc w:val="center"/>
        <w:tblLayout w:type="fixed"/>
        <w:tblLook w:firstColumn="1" w:firstRow="1" w:lastColumn="0" w:lastRow="0" w:noHBand="0" w:noVBand="1" w:val="04A0"/>
      </w:tblPr>
      <w:tblGrid>
        <w:gridCol w:w="2381"/>
        <w:gridCol w:w="7087"/>
      </w:tblGrid>
      <w:tr>
        <w:tc>
          <w:tcPr>
            <w:tcW w:type="dxa" w:w="5103"/>
            <w:tcBorders>
              <w:top w:val="nil"/>
              <w:left w:val="nil"/>
              <w:bottom w:val="nil"/>
              <w:right w:val="nil"/>
            </w:tcBorders>
            <w:tcMar>
              <w:top w:w="55" w:type="dxa"/>
              <w:start w:w="0" w:type="dxa"/>
              <w:bottom w:w="55" w:type="dxa"/>
              <w:end w:w="0" w:type="dxa"/>
            </w:tcMar>
            <w:vAlign w:val="center"/>
          </w:tcPr>
          <w:p>
            <w:pPr>
              <w:spacing w:after="0" w:before="0" w:line="240" w:lineRule="auto"/>
            </w:pPr>
            <w:r>
              <w:rPr>
                <w:rFonts w:ascii="Inter" w:hAnsi="Inter" w:eastAsia="Inter"/>
                <w:b/>
                <w:i w:val="0"/>
                <w:color w:val="0E6B58"/>
                <w:sz w:val="24"/>
              </w:rPr>
              <w:t>MESD'26</w:t>
            </w:r>
          </w:p>
        </w:tc>
        <w:tc>
          <w:tcPr>
            <w:tcW w:type="dxa" w:w="5103"/>
            <w:tcBorders>
              <w:top w:val="nil"/>
              <w:left w:val="nil"/>
              <w:bottom w:val="nil"/>
              <w:right w:val="nil"/>
            </w:tcBorders>
            <w:tcMar>
              <w:top w:w="55" w:type="dxa"/>
              <w:start w:w="0" w:type="dxa"/>
              <w:bottom w:w="55" w:type="dxa"/>
              <w:end w:w="0" w:type="dxa"/>
            </w:tcMar>
            <w:vAlign w:val="center"/>
          </w:tcPr>
          <w:p>
            <w:pPr>
              <w:spacing w:after="0" w:before="0" w:line="240" w:lineRule="auto"/>
              <w:jc w:val="right"/>
            </w:pPr>
            <w:r>
              <w:rPr>
                <w:rFonts w:ascii="Inter" w:hAnsi="Inter" w:eastAsia="Inter"/>
                <w:b/>
                <w:i w:val="0"/>
                <w:color w:val="61736D"/>
                <w:sz w:val="15"/>
              </w:rPr>
              <w:t>GENERAL MESD TRACKS</w:t>
            </w:r>
          </w:p>
        </w:tc>
      </w:tr>
    </w:tbl>
    <w:p>
      <w:pPr>
        <w:spacing w:after="160" w:before="0" w:line="240" w:lineRule="auto"/>
        <w:widowControl/>
        <w:pBdr>
          <w:bottom w:val="single" w:sz="6" w:space="0" w:color="D8E2DE"/>
        </w:pBdr>
      </w:pPr>
    </w:p>
    <w:p>
      <w:pPr>
        <w:keepNext/>
        <w:widowControl/>
        <w:spacing w:after="40" w:before="40" w:line="240" w:lineRule="auto"/>
      </w:pPr>
      <w:r>
        <w:rPr>
          <w:rFonts w:ascii="Inter" w:hAnsi="Inter" w:eastAsia="Inter"/>
          <w:b/>
          <w:i w:val="0"/>
          <w:color w:val="D8A436"/>
          <w:sz w:val="14"/>
        </w:rPr>
        <w:t>GENERAL MESD TRACKS</w:t>
      </w:r>
    </w:p>
    <w:p>
      <w:pPr>
        <w:keepNext/>
        <w:widowControl/>
        <w:spacing w:after="120" w:before="0" w:line="252" w:lineRule="auto"/>
      </w:pPr>
      <w:r>
        <w:rPr>
          <w:rFonts w:ascii="Noto Serif" w:hAnsi="Noto Serif" w:eastAsia="Noto Serif"/>
          <w:b/>
          <w:i w:val="0"/>
          <w:color w:val="17302B"/>
          <w:sz w:val="30"/>
        </w:rPr>
        <w:t>Broad pathways across the MESD field</w:t>
      </w:r>
    </w:p>
    <w:p>
      <w:pPr>
        <w:widowControl/>
        <w:spacing w:after="160" w:before="0" w:line="283" w:lineRule="auto"/>
      </w:pPr>
      <w:r>
        <w:rPr>
          <w:rFonts w:ascii="Inter" w:hAnsi="Inter" w:eastAsia="Inter"/>
          <w:b w:val="0"/>
          <w:i w:val="0"/>
          <w:color w:val="2F4B45"/>
          <w:sz w:val="18"/>
        </w:rPr>
        <w:t>Choose a General MESD track for work addressing the wider field of multinational enterprises and sustainable development, whether or not a crisis context is involved. G8 provides an open interdisciplinary route for relevant work that does not fit another track naturally.</w:t>
      </w:r>
    </w:p>
    <w:tbl>
      <w:tblPr>
        <w:tblW w:type="auto" w:w="0"/>
        <w:jc w:val="center"/>
        <w:tblLayout w:type="fixed"/>
        <w:tblLook w:firstColumn="1" w:firstRow="1" w:lastColumn="0" w:lastRow="0" w:noHBand="0" w:noVBand="1" w:val="04A0"/>
      </w:tblPr>
      <w:tblGrid>
        <w:gridCol w:w="4620"/>
        <w:gridCol w:w="4620"/>
      </w:tblGrid>
      <w:tr>
        <w:trPr>
          <w:cantSplit/>
          <w:trHeight w:hRule="atLeast"/>
        </w:trPr>
        <w:tc>
          <w:tcPr>
            <w:tcW w:type="dxa" w:w="5103"/>
            <w:shd w:fill="FFFFFF"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G1</w:t>
            </w:r>
          </w:p>
          <w:p>
            <w:pPr>
              <w:keepNext/>
              <w:spacing w:after="100" w:before="0" w:line="254" w:lineRule="auto"/>
            </w:pPr>
            <w:r>
              <w:rPr>
                <w:rFonts w:ascii="Inter" w:hAnsi="Inter" w:eastAsia="Inter"/>
                <w:b/>
                <w:i w:val="0"/>
                <w:color w:val="0E6B58"/>
                <w:sz w:val="20"/>
              </w:rPr>
              <w:t>MNE Strategy and Sustainable Development</w:t>
            </w:r>
          </w:p>
          <w:p>
            <w:pPr>
              <w:pStyle w:val="ListBullet"/>
              <w:spacing w:after="22" w:before="0" w:line="259" w:lineRule="auto"/>
              <w:ind w:left="255" w:hanging="136"/>
            </w:pPr>
            <w:r>
              <w:rPr>
                <w:rFonts w:ascii="Inter" w:hAnsi="Inter" w:eastAsia="Inter"/>
                <w:b w:val="0"/>
                <w:i w:val="0"/>
                <w:color w:val="2F4B45"/>
                <w:sz w:val="16"/>
              </w:rPr>
              <w:t>International strategy, FDI, location, and entry choices</w:t>
            </w:r>
          </w:p>
          <w:p>
            <w:pPr>
              <w:pStyle w:val="ListBullet"/>
              <w:spacing w:after="22" w:before="0" w:line="259" w:lineRule="auto"/>
              <w:ind w:left="255" w:hanging="136"/>
            </w:pPr>
            <w:r>
              <w:rPr>
                <w:rFonts w:ascii="Inter" w:hAnsi="Inter" w:eastAsia="Inter"/>
                <w:b w:val="0"/>
                <w:i w:val="0"/>
                <w:color w:val="2F4B45"/>
                <w:sz w:val="16"/>
              </w:rPr>
              <w:t>Sustainability strategies, competitiveness, and internationalization</w:t>
            </w:r>
          </w:p>
          <w:p>
            <w:pPr>
              <w:pStyle w:val="ListBullet"/>
              <w:spacing w:after="22" w:before="0" w:line="259" w:lineRule="auto"/>
              <w:ind w:left="255" w:hanging="136"/>
            </w:pPr>
            <w:r>
              <w:rPr>
                <w:rFonts w:ascii="Inter" w:hAnsi="Inter" w:eastAsia="Inter"/>
                <w:b w:val="0"/>
                <w:i w:val="0"/>
                <w:color w:val="2F4B45"/>
                <w:sz w:val="16"/>
              </w:rPr>
              <w:t>Emerging-market MNEs and sustainable development</w:t>
            </w:r>
          </w:p>
        </w:tc>
        <w:tc>
          <w:tcPr>
            <w:tcW w:type="dxa" w:w="5103"/>
            <w:shd w:fill="F7F5EE"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G2</w:t>
            </w:r>
          </w:p>
          <w:p>
            <w:pPr>
              <w:keepNext/>
              <w:spacing w:after="100" w:before="0" w:line="254" w:lineRule="auto"/>
            </w:pPr>
            <w:r>
              <w:rPr>
                <w:rFonts w:ascii="Inter" w:hAnsi="Inter" w:eastAsia="Inter"/>
                <w:b/>
                <w:i w:val="0"/>
                <w:color w:val="0E6B58"/>
                <w:sz w:val="20"/>
              </w:rPr>
              <w:t>Global Value Chains, Operations and Sustainable Supply Chains</w:t>
            </w:r>
          </w:p>
          <w:p>
            <w:pPr>
              <w:pStyle w:val="ListBullet"/>
              <w:spacing w:after="22" w:before="0" w:line="259" w:lineRule="auto"/>
              <w:ind w:left="255" w:hanging="136"/>
            </w:pPr>
            <w:r>
              <w:rPr>
                <w:rFonts w:ascii="Inter" w:hAnsi="Inter" w:eastAsia="Inter"/>
                <w:b w:val="0"/>
                <w:i w:val="0"/>
                <w:color w:val="2F4B45"/>
                <w:sz w:val="16"/>
              </w:rPr>
              <w:t>Global value chains and responsible sourcing</w:t>
            </w:r>
          </w:p>
          <w:p>
            <w:pPr>
              <w:pStyle w:val="ListBullet"/>
              <w:spacing w:after="22" w:before="0" w:line="259" w:lineRule="auto"/>
              <w:ind w:left="255" w:hanging="136"/>
            </w:pPr>
            <w:r>
              <w:rPr>
                <w:rFonts w:ascii="Inter" w:hAnsi="Inter" w:eastAsia="Inter"/>
                <w:b w:val="0"/>
                <w:i w:val="0"/>
                <w:color w:val="2F4B45"/>
                <w:sz w:val="16"/>
              </w:rPr>
              <w:t>Sustainable production, logistics, and supply-chain management</w:t>
            </w:r>
          </w:p>
          <w:p>
            <w:pPr>
              <w:pStyle w:val="ListBullet"/>
              <w:spacing w:after="22" w:before="0" w:line="259" w:lineRule="auto"/>
              <w:ind w:left="255" w:hanging="136"/>
            </w:pPr>
            <w:r>
              <w:rPr>
                <w:rFonts w:ascii="Inter" w:hAnsi="Inter" w:eastAsia="Inter"/>
                <w:b w:val="0"/>
                <w:i w:val="0"/>
                <w:color w:val="2F4B45"/>
                <w:sz w:val="16"/>
              </w:rPr>
              <w:t>Circularity, reshoring, localization, and operational transformation</w:t>
            </w:r>
          </w:p>
        </w:tc>
      </w:tr>
      <w:tr>
        <w:trPr>
          <w:cantSplit/>
          <w:trHeight w:hRule="atLeast"/>
        </w:trPr>
        <w:tc>
          <w:tcPr>
            <w:tcW w:type="dxa" w:w="5103"/>
            <w:shd w:fill="F7F5EE"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G3</w:t>
            </w:r>
          </w:p>
          <w:p>
            <w:pPr>
              <w:keepNext/>
              <w:spacing w:after="100" w:before="0" w:line="254" w:lineRule="auto"/>
            </w:pPr>
            <w:r>
              <w:rPr>
                <w:rFonts w:ascii="Inter" w:hAnsi="Inter" w:eastAsia="Inter"/>
                <w:b/>
                <w:i w:val="0"/>
                <w:color w:val="0E6B58"/>
                <w:sz w:val="20"/>
              </w:rPr>
              <w:t>Innovation, Technology and Sustainable Business Models</w:t>
            </w:r>
          </w:p>
          <w:p>
            <w:pPr>
              <w:pStyle w:val="ListBullet"/>
              <w:spacing w:after="22" w:before="0" w:line="259" w:lineRule="auto"/>
              <w:ind w:left="255" w:hanging="136"/>
            </w:pPr>
            <w:r>
              <w:rPr>
                <w:rFonts w:ascii="Inter" w:hAnsi="Inter" w:eastAsia="Inter"/>
                <w:b w:val="0"/>
                <w:i w:val="0"/>
                <w:color w:val="2F4B45"/>
                <w:sz w:val="16"/>
              </w:rPr>
              <w:t>Digital transformation, artificial intelligence, and sustainability</w:t>
            </w:r>
          </w:p>
          <w:p>
            <w:pPr>
              <w:pStyle w:val="ListBullet"/>
              <w:spacing w:after="22" w:before="0" w:line="259" w:lineRule="auto"/>
              <w:ind w:left="255" w:hanging="136"/>
            </w:pPr>
            <w:r>
              <w:rPr>
                <w:rFonts w:ascii="Inter" w:hAnsi="Inter" w:eastAsia="Inter"/>
                <w:b w:val="0"/>
                <w:i w:val="0"/>
                <w:color w:val="2F4B45"/>
                <w:sz w:val="16"/>
              </w:rPr>
              <w:t>Green technologies, Industry 4.0/5.0, and sustainable innovation</w:t>
            </w:r>
          </w:p>
          <w:p>
            <w:pPr>
              <w:pStyle w:val="ListBullet"/>
              <w:spacing w:after="22" w:before="0" w:line="259" w:lineRule="auto"/>
              <w:ind w:left="255" w:hanging="136"/>
            </w:pPr>
            <w:r>
              <w:rPr>
                <w:rFonts w:ascii="Inter" w:hAnsi="Inter" w:eastAsia="Inter"/>
                <w:b w:val="0"/>
                <w:i w:val="0"/>
                <w:color w:val="2F4B45"/>
                <w:sz w:val="16"/>
              </w:rPr>
              <w:t>New and transforming sustainable business models</w:t>
            </w:r>
          </w:p>
        </w:tc>
        <w:tc>
          <w:tcPr>
            <w:tcW w:type="dxa" w:w="5103"/>
            <w:shd w:fill="FFFFFF"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G4</w:t>
            </w:r>
          </w:p>
          <w:p>
            <w:pPr>
              <w:keepNext/>
              <w:spacing w:after="100" w:before="0" w:line="254" w:lineRule="auto"/>
            </w:pPr>
            <w:r>
              <w:rPr>
                <w:rFonts w:ascii="Inter" w:hAnsi="Inter" w:eastAsia="Inter"/>
                <w:b/>
                <w:i w:val="0"/>
                <w:color w:val="0E6B58"/>
                <w:sz w:val="20"/>
              </w:rPr>
              <w:t>Corporate Responsibility, ESG, Governance and Sustainable Finance</w:t>
            </w:r>
          </w:p>
          <w:p>
            <w:pPr>
              <w:pStyle w:val="ListBullet"/>
              <w:spacing w:after="22" w:before="0" w:line="259" w:lineRule="auto"/>
              <w:ind w:left="255" w:hanging="136"/>
            </w:pPr>
            <w:r>
              <w:rPr>
                <w:rFonts w:ascii="Inter" w:hAnsi="Inter" w:eastAsia="Inter"/>
                <w:b w:val="0"/>
                <w:i w:val="0"/>
                <w:color w:val="2F4B45"/>
                <w:sz w:val="16"/>
              </w:rPr>
              <w:t>CSR, ESG, and stakeholder management</w:t>
            </w:r>
          </w:p>
          <w:p>
            <w:pPr>
              <w:pStyle w:val="ListBullet"/>
              <w:spacing w:after="22" w:before="0" w:line="259" w:lineRule="auto"/>
              <w:ind w:left="255" w:hanging="136"/>
            </w:pPr>
            <w:r>
              <w:rPr>
                <w:rFonts w:ascii="Inter" w:hAnsi="Inter" w:eastAsia="Inter"/>
                <w:b w:val="0"/>
                <w:i w:val="0"/>
                <w:color w:val="2F4B45"/>
                <w:sz w:val="16"/>
              </w:rPr>
              <w:t>Corporate governance, reporting, ethics, and accountability</w:t>
            </w:r>
          </w:p>
          <w:p>
            <w:pPr>
              <w:pStyle w:val="ListBullet"/>
              <w:spacing w:after="22" w:before="0" w:line="259" w:lineRule="auto"/>
              <w:ind w:left="255" w:hanging="136"/>
            </w:pPr>
            <w:r>
              <w:rPr>
                <w:rFonts w:ascii="Inter" w:hAnsi="Inter" w:eastAsia="Inter"/>
                <w:b w:val="0"/>
                <w:i w:val="0"/>
                <w:color w:val="2F4B45"/>
                <w:sz w:val="16"/>
              </w:rPr>
              <w:t>Sustainable finance, responsible investment, and assessment of sustainability outcomes</w:t>
            </w:r>
          </w:p>
        </w:tc>
      </w:tr>
      <w:tr>
        <w:trPr>
          <w:cantSplit/>
          <w:trHeight w:hRule="atLeast"/>
        </w:trPr>
        <w:tc>
          <w:tcPr>
            <w:tcW w:type="dxa" w:w="5103"/>
            <w:shd w:fill="FFFFFF"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G5</w:t>
            </w:r>
          </w:p>
          <w:p>
            <w:pPr>
              <w:keepNext/>
              <w:spacing w:after="100" w:before="0" w:line="254" w:lineRule="auto"/>
            </w:pPr>
            <w:r>
              <w:rPr>
                <w:rFonts w:ascii="Inter" w:hAnsi="Inter" w:eastAsia="Inter"/>
                <w:b/>
                <w:i w:val="0"/>
                <w:color w:val="0E6B58"/>
                <w:sz w:val="20"/>
              </w:rPr>
              <w:t>People, Society and Sustainable Organizations</w:t>
            </w:r>
          </w:p>
          <w:p>
            <w:pPr>
              <w:pStyle w:val="ListBullet"/>
              <w:spacing w:after="22" w:before="0" w:line="259" w:lineRule="auto"/>
              <w:ind w:left="255" w:hanging="136"/>
            </w:pPr>
            <w:r>
              <w:rPr>
                <w:rFonts w:ascii="Inter" w:hAnsi="Inter" w:eastAsia="Inter"/>
                <w:b w:val="0"/>
                <w:i w:val="0"/>
                <w:color w:val="2F4B45"/>
                <w:sz w:val="16"/>
              </w:rPr>
              <w:t>Sustainable HRM, work, well-being, and responsible leadership</w:t>
            </w:r>
          </w:p>
          <w:p>
            <w:pPr>
              <w:pStyle w:val="ListBullet"/>
              <w:spacing w:after="22" w:before="0" w:line="259" w:lineRule="auto"/>
              <w:ind w:left="255" w:hanging="136"/>
            </w:pPr>
            <w:r>
              <w:rPr>
                <w:rFonts w:ascii="Inter" w:hAnsi="Inter" w:eastAsia="Inter"/>
                <w:b w:val="0"/>
                <w:i w:val="0"/>
                <w:color w:val="2F4B45"/>
                <w:sz w:val="16"/>
              </w:rPr>
              <w:t>Diversity, inclusion, inequalities, labor, and human rights</w:t>
            </w:r>
          </w:p>
          <w:p>
            <w:pPr>
              <w:pStyle w:val="ListBullet"/>
              <w:spacing w:after="22" w:before="0" w:line="259" w:lineRule="auto"/>
              <w:ind w:left="255" w:hanging="136"/>
            </w:pPr>
            <w:r>
              <w:rPr>
                <w:rFonts w:ascii="Inter" w:hAnsi="Inter" w:eastAsia="Inter"/>
                <w:b w:val="0"/>
                <w:i w:val="0"/>
                <w:color w:val="2F4B45"/>
                <w:sz w:val="16"/>
              </w:rPr>
              <w:t>Communities, social entrepreneurship, and societal impact</w:t>
            </w:r>
          </w:p>
        </w:tc>
        <w:tc>
          <w:tcPr>
            <w:tcW w:type="dxa" w:w="5103"/>
            <w:shd w:fill="F7F5EE"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G6</w:t>
            </w:r>
          </w:p>
          <w:p>
            <w:pPr>
              <w:keepNext/>
              <w:spacing w:after="100" w:before="0" w:line="254" w:lineRule="auto"/>
            </w:pPr>
            <w:r>
              <w:rPr>
                <w:rFonts w:ascii="Inter" w:hAnsi="Inter" w:eastAsia="Inter"/>
                <w:b/>
                <w:i w:val="0"/>
                <w:color w:val="0E6B58"/>
                <w:sz w:val="20"/>
              </w:rPr>
              <w:t>Climate, Environment and Natural Resources</w:t>
            </w:r>
          </w:p>
          <w:p>
            <w:pPr>
              <w:pStyle w:val="ListBullet"/>
              <w:spacing w:after="22" w:before="0" w:line="259" w:lineRule="auto"/>
              <w:ind w:left="255" w:hanging="136"/>
            </w:pPr>
            <w:r>
              <w:rPr>
                <w:rFonts w:ascii="Inter" w:hAnsi="Inter" w:eastAsia="Inter"/>
                <w:b w:val="0"/>
                <w:i w:val="0"/>
                <w:color w:val="2F4B45"/>
                <w:sz w:val="16"/>
              </w:rPr>
              <w:t>Climate strategies, decarbonization, and energy transition</w:t>
            </w:r>
          </w:p>
          <w:p>
            <w:pPr>
              <w:pStyle w:val="ListBullet"/>
              <w:spacing w:after="22" w:before="0" w:line="259" w:lineRule="auto"/>
              <w:ind w:left="255" w:hanging="136"/>
            </w:pPr>
            <w:r>
              <w:rPr>
                <w:rFonts w:ascii="Inter" w:hAnsi="Inter" w:eastAsia="Inter"/>
                <w:b w:val="0"/>
                <w:i w:val="0"/>
                <w:color w:val="2F4B45"/>
                <w:sz w:val="16"/>
              </w:rPr>
              <w:t>Biodiversity, natural resources, and environmental management</w:t>
            </w:r>
          </w:p>
          <w:p>
            <w:pPr>
              <w:pStyle w:val="ListBullet"/>
              <w:spacing w:after="22" w:before="0" w:line="259" w:lineRule="auto"/>
              <w:ind w:left="255" w:hanging="136"/>
            </w:pPr>
            <w:r>
              <w:rPr>
                <w:rFonts w:ascii="Inter" w:hAnsi="Inter" w:eastAsia="Inter"/>
                <w:b w:val="0"/>
                <w:i w:val="0"/>
                <w:color w:val="2F4B45"/>
                <w:sz w:val="16"/>
              </w:rPr>
              <w:t>Resource efficiency, pollution prevention, and ecological transformation</w:t>
            </w:r>
          </w:p>
        </w:tc>
      </w:tr>
      <w:tr>
        <w:trPr>
          <w:cantSplit/>
          <w:trHeight w:hRule="atLeast"/>
        </w:trPr>
        <w:tc>
          <w:tcPr>
            <w:tcW w:type="dxa" w:w="5103"/>
            <w:shd w:fill="F7F5EE"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G7</w:t>
            </w:r>
          </w:p>
          <w:p>
            <w:pPr>
              <w:keepNext/>
              <w:spacing w:after="100" w:before="0" w:line="254" w:lineRule="auto"/>
            </w:pPr>
            <w:r>
              <w:rPr>
                <w:rFonts w:ascii="Inter" w:hAnsi="Inter" w:eastAsia="Inter"/>
                <w:b/>
                <w:i w:val="0"/>
                <w:color w:val="0E6B58"/>
                <w:sz w:val="20"/>
              </w:rPr>
              <w:t>SDGs, Public Policy and International Partnerships</w:t>
            </w:r>
          </w:p>
          <w:p>
            <w:pPr>
              <w:pStyle w:val="ListBullet"/>
              <w:spacing w:after="22" w:before="0" w:line="259" w:lineRule="auto"/>
              <w:ind w:left="255" w:hanging="136"/>
            </w:pPr>
            <w:r>
              <w:rPr>
                <w:rFonts w:ascii="Inter" w:hAnsi="Inter" w:eastAsia="Inter"/>
                <w:b w:val="0"/>
                <w:i w:val="0"/>
                <w:color w:val="2F4B45"/>
                <w:sz w:val="16"/>
              </w:rPr>
              <w:t>SDG implementation and measurement</w:t>
            </w:r>
          </w:p>
          <w:p>
            <w:pPr>
              <w:pStyle w:val="ListBullet"/>
              <w:spacing w:after="22" w:before="0" w:line="259" w:lineRule="auto"/>
              <w:ind w:left="255" w:hanging="136"/>
            </w:pPr>
            <w:r>
              <w:rPr>
                <w:rFonts w:ascii="Inter" w:hAnsi="Inter" w:eastAsia="Inter"/>
                <w:b w:val="0"/>
                <w:i w:val="0"/>
                <w:color w:val="2F4B45"/>
                <w:sz w:val="16"/>
              </w:rPr>
              <w:t>Public policy, regulation, and international organizations</w:t>
            </w:r>
          </w:p>
          <w:p>
            <w:pPr>
              <w:pStyle w:val="ListBullet"/>
              <w:spacing w:after="22" w:before="0" w:line="259" w:lineRule="auto"/>
              <w:ind w:left="255" w:hanging="136"/>
            </w:pPr>
            <w:r>
              <w:rPr>
                <w:rFonts w:ascii="Inter" w:hAnsi="Inter" w:eastAsia="Inter"/>
                <w:b w:val="0"/>
                <w:i w:val="0"/>
                <w:color w:val="2F4B45"/>
                <w:sz w:val="16"/>
              </w:rPr>
              <w:t>Public-private partnerships, NGOs, development, and North-South cooperation</w:t>
            </w:r>
          </w:p>
        </w:tc>
        <w:tc>
          <w:tcPr>
            <w:tcW w:type="dxa" w:w="5103"/>
            <w:shd w:fill="FFFFFF" w:val="clear"/>
            <w:tcMar>
              <w:top w:w="145" w:type="dxa"/>
              <w:start w:w="165" w:type="dxa"/>
              <w:bottom w:w="145" w:type="dxa"/>
              <w:end w:w="165" w:type="dxa"/>
            </w:tcMar>
            <w:vAlign w:val="top"/>
            <w:tcBorders>
              <w:top w:val="single" w:sz="8" w:space="0" w:color="D8E2DE"/>
              <w:left w:val="single" w:sz="8" w:space="0" w:color="D8E2DE"/>
              <w:bottom w:val="single" w:sz="8" w:space="0" w:color="D8E2DE"/>
              <w:right w:val="single" w:sz="8" w:space="0" w:color="D8E2DE"/>
            </w:tcBorders>
          </w:tcPr>
          <w:p>
            <w:pPr>
              <w:spacing w:after="40" w:before="0" w:line="240" w:lineRule="auto"/>
            </w:pPr>
            <w:r>
              <w:rPr>
                <w:rFonts w:ascii="Inter" w:hAnsi="Inter" w:eastAsia="Inter"/>
                <w:b/>
                <w:i w:val="0"/>
                <w:color w:val="D8A436"/>
                <w:sz w:val="14"/>
              </w:rPr>
              <w:t>G8</w:t>
            </w:r>
          </w:p>
          <w:p>
            <w:pPr>
              <w:keepNext/>
              <w:spacing w:after="100" w:before="0" w:line="254" w:lineRule="auto"/>
            </w:pPr>
            <w:r>
              <w:rPr>
                <w:rFonts w:ascii="Inter" w:hAnsi="Inter" w:eastAsia="Inter"/>
                <w:b/>
                <w:i w:val="0"/>
                <w:color w:val="0E6B58"/>
                <w:sz w:val="20"/>
              </w:rPr>
              <w:t>Open and Interdisciplinary MESD Track</w:t>
            </w:r>
          </w:p>
          <w:p>
            <w:pPr>
              <w:pStyle w:val="ListBullet"/>
              <w:spacing w:after="22" w:before="0" w:line="259" w:lineRule="auto"/>
              <w:ind w:left="255" w:hanging="136"/>
            </w:pPr>
            <w:r>
              <w:rPr>
                <w:rFonts w:ascii="Inter" w:hAnsi="Inter" w:eastAsia="Inter"/>
                <w:b w:val="0"/>
                <w:i w:val="0"/>
                <w:color w:val="2F4B45"/>
                <w:sz w:val="16"/>
              </w:rPr>
              <w:t>Conceptual, methodological, and interdisciplinary contributions</w:t>
            </w:r>
          </w:p>
          <w:p>
            <w:pPr>
              <w:pStyle w:val="ListBullet"/>
              <w:spacing w:after="22" w:before="0" w:line="259" w:lineRule="auto"/>
              <w:ind w:left="255" w:hanging="136"/>
            </w:pPr>
            <w:r>
              <w:rPr>
                <w:rFonts w:ascii="Inter" w:hAnsi="Inter" w:eastAsia="Inter"/>
                <w:b w:val="0"/>
                <w:i w:val="0"/>
                <w:color w:val="2F4B45"/>
                <w:sz w:val="16"/>
              </w:rPr>
              <w:t>Emerging topics at the intersection of MNEs and sustainable development</w:t>
            </w:r>
          </w:p>
          <w:p>
            <w:pPr>
              <w:pStyle w:val="ListBullet"/>
              <w:spacing w:after="22" w:before="0" w:line="259" w:lineRule="auto"/>
              <w:ind w:left="255" w:hanging="136"/>
            </w:pPr>
            <w:r>
              <w:rPr>
                <w:rFonts w:ascii="Inter" w:hAnsi="Inter" w:eastAsia="Inter"/>
                <w:b w:val="0"/>
                <w:i w:val="0"/>
                <w:color w:val="2F4B45"/>
                <w:sz w:val="16"/>
              </w:rPr>
              <w:t>Work within the broad MESD scope that does not fit another track</w:t>
            </w:r>
          </w:p>
        </w:tc>
      </w:tr>
    </w:tbl>
    <w:p>
      <w:pPr>
        <w:widowControl/>
        <w:spacing w:after="100" w:before="160" w:line="240" w:lineRule="auto"/>
      </w:pPr>
    </w:p>
    <w:tbl>
      <w:tblPr>
        <w:tblW w:type="auto" w:w="0"/>
        <w:jc w:val="center"/>
        <w:tblLayout w:type="fixed"/>
        <w:tblLook w:firstColumn="1" w:firstRow="1" w:lastColumn="0" w:lastRow="0" w:noHBand="0" w:noVBand="1" w:val="04A0"/>
      </w:tblPr>
      <w:tblGrid>
        <w:gridCol w:w="3061"/>
        <w:gridCol w:w="3061"/>
        <w:gridCol w:w="3061"/>
      </w:tblGrid>
      <w:tr>
        <w:tc>
          <w:tcPr>
            <w:tcW w:type="dxa" w:w="3402"/>
            <w:shd w:fill="17302B" w:val="clear"/>
            <w:tcMar>
              <w:top w:w="110" w:type="dxa"/>
              <w:start w:w="120" w:type="dxa"/>
              <w:bottom w:w="110" w:type="dxa"/>
              <w:end w:w="120" w:type="dxa"/>
            </w:tcMar>
            <w:vAlign w:val="center"/>
            <w:tcBorders>
              <w:top w:val="single" w:sz="4" w:space="0" w:color="17302B"/>
              <w:left w:val="single" w:sz="4" w:space="0" w:color="17302B"/>
              <w:bottom w:val="single" w:sz="4" w:space="0" w:color="17302B"/>
              <w:right w:val="single" w:sz="4" w:space="0" w:color="17302B"/>
            </w:tcBorders>
          </w:tcPr>
          <w:p>
            <w:pPr>
              <w:spacing w:after="40" w:before="0" w:line="240" w:lineRule="auto"/>
              <w:jc w:val="center"/>
            </w:pPr>
            <w:r>
              <w:rPr>
                <w:rFonts w:ascii="Inter" w:hAnsi="Inter" w:eastAsia="Inter"/>
                <w:b/>
                <w:i w:val="0"/>
                <w:color w:val="D8A436"/>
                <w:sz w:val="13"/>
              </w:rPr>
              <w:t>COMPLETED RESEARCH</w:t>
            </w:r>
          </w:p>
          <w:p>
            <w:pPr>
              <w:spacing w:after="0" w:before="0" w:line="250" w:lineRule="auto"/>
              <w:jc w:val="center"/>
            </w:pPr>
            <w:r>
              <w:rPr>
                <w:rFonts w:ascii="Inter" w:hAnsi="Inter" w:eastAsia="Inter"/>
                <w:b/>
                <w:i w:val="0"/>
                <w:color w:val="FFFFFF"/>
                <w:sz w:val="16"/>
              </w:rPr>
              <w:t>Empirical and conceptual studies</w:t>
            </w:r>
          </w:p>
        </w:tc>
        <w:tc>
          <w:tcPr>
            <w:tcW w:type="dxa" w:w="3402"/>
            <w:shd w:fill="17302B" w:val="clear"/>
            <w:tcMar>
              <w:top w:w="110" w:type="dxa"/>
              <w:start w:w="120" w:type="dxa"/>
              <w:bottom w:w="110" w:type="dxa"/>
              <w:end w:w="120" w:type="dxa"/>
            </w:tcMar>
            <w:vAlign w:val="center"/>
            <w:tcBorders>
              <w:top w:val="single" w:sz="4" w:space="0" w:color="17302B"/>
              <w:left w:val="single" w:sz="4" w:space="0" w:color="17302B"/>
              <w:bottom w:val="single" w:sz="4" w:space="0" w:color="17302B"/>
              <w:right w:val="single" w:sz="4" w:space="0" w:color="17302B"/>
            </w:tcBorders>
          </w:tcPr>
          <w:p>
            <w:pPr>
              <w:spacing w:after="40" w:before="0" w:line="240" w:lineRule="auto"/>
              <w:jc w:val="center"/>
            </w:pPr>
            <w:r>
              <w:rPr>
                <w:rFonts w:ascii="Inter" w:hAnsi="Inter" w:eastAsia="Inter"/>
                <w:b/>
                <w:i w:val="0"/>
                <w:color w:val="D8A436"/>
                <w:sz w:val="13"/>
              </w:rPr>
              <w:t>RESEARCH IN PROGRESS</w:t>
            </w:r>
          </w:p>
          <w:p>
            <w:pPr>
              <w:spacing w:after="0" w:before="0" w:line="250" w:lineRule="auto"/>
              <w:jc w:val="center"/>
            </w:pPr>
            <w:r>
              <w:rPr>
                <w:rFonts w:ascii="Inter" w:hAnsi="Inter" w:eastAsia="Inter"/>
                <w:b/>
                <w:i w:val="0"/>
                <w:color w:val="FFFFFF"/>
                <w:sz w:val="16"/>
              </w:rPr>
              <w:t>Emerging findings and designs</w:t>
            </w:r>
          </w:p>
        </w:tc>
        <w:tc>
          <w:tcPr>
            <w:tcW w:type="dxa" w:w="3402"/>
            <w:shd w:fill="17302B" w:val="clear"/>
            <w:tcMar>
              <w:top w:w="110" w:type="dxa"/>
              <w:start w:w="120" w:type="dxa"/>
              <w:bottom w:w="110" w:type="dxa"/>
              <w:end w:w="120" w:type="dxa"/>
            </w:tcMar>
            <w:vAlign w:val="center"/>
            <w:tcBorders>
              <w:top w:val="single" w:sz="4" w:space="0" w:color="17302B"/>
              <w:left w:val="single" w:sz="4" w:space="0" w:color="17302B"/>
              <w:bottom w:val="single" w:sz="4" w:space="0" w:color="17302B"/>
              <w:right w:val="single" w:sz="4" w:space="0" w:color="17302B"/>
            </w:tcBorders>
          </w:tcPr>
          <w:p>
            <w:pPr>
              <w:spacing w:after="40" w:before="0" w:line="240" w:lineRule="auto"/>
              <w:jc w:val="center"/>
            </w:pPr>
            <w:r>
              <w:rPr>
                <w:rFonts w:ascii="Inter" w:hAnsi="Inter" w:eastAsia="Inter"/>
                <w:b/>
                <w:i w:val="0"/>
                <w:color w:val="D8A436"/>
                <w:sz w:val="13"/>
              </w:rPr>
              <w:t>PRACTICE &amp; POLICY</w:t>
            </w:r>
          </w:p>
          <w:p>
            <w:pPr>
              <w:spacing w:after="0" w:before="0" w:line="250" w:lineRule="auto"/>
              <w:jc w:val="center"/>
            </w:pPr>
            <w:r>
              <w:rPr>
                <w:rFonts w:ascii="Inter" w:hAnsi="Inter" w:eastAsia="Inter"/>
                <w:b/>
                <w:i w:val="0"/>
                <w:color w:val="FFFFFF"/>
                <w:sz w:val="16"/>
              </w:rPr>
              <w:t>Business, NGO and public-sector insights</w:t>
            </w:r>
          </w:p>
        </w:tc>
      </w:tr>
    </w:tbl>
    <w:p>
      <w:pPr>
        <w:widowControl/>
      </w:pPr>
      <w:r>
        <w:br w:type="page"/>
      </w:r>
    </w:p>
    <w:tbl>
      <w:tblPr>
        <w:tblW w:type="auto" w:w="0"/>
        <w:jc w:val="center"/>
        <w:tblLayout w:type="fixed"/>
        <w:tblLook w:firstColumn="1" w:firstRow="1" w:lastColumn="0" w:lastRow="0" w:noHBand="0" w:noVBand="1" w:val="04A0"/>
      </w:tblPr>
      <w:tblGrid>
        <w:gridCol w:w="2381"/>
        <w:gridCol w:w="7087"/>
      </w:tblGrid>
      <w:tr>
        <w:tc>
          <w:tcPr>
            <w:tcW w:type="dxa" w:w="5103"/>
            <w:tcBorders>
              <w:top w:val="nil"/>
              <w:left w:val="nil"/>
              <w:bottom w:val="nil"/>
              <w:right w:val="nil"/>
            </w:tcBorders>
            <w:tcMar>
              <w:top w:w="55" w:type="dxa"/>
              <w:start w:w="0" w:type="dxa"/>
              <w:bottom w:w="55" w:type="dxa"/>
              <w:end w:w="0" w:type="dxa"/>
            </w:tcMar>
            <w:vAlign w:val="center"/>
          </w:tcPr>
          <w:p>
            <w:pPr>
              <w:spacing w:after="0" w:before="0" w:line="240" w:lineRule="auto"/>
            </w:pPr>
            <w:r>
              <w:rPr>
                <w:rFonts w:ascii="Inter" w:hAnsi="Inter" w:eastAsia="Inter"/>
                <w:b/>
                <w:i w:val="0"/>
                <w:color w:val="0E6B58"/>
                <w:sz w:val="24"/>
              </w:rPr>
              <w:t>MESD'26</w:t>
            </w:r>
          </w:p>
        </w:tc>
        <w:tc>
          <w:tcPr>
            <w:tcW w:type="dxa" w:w="5103"/>
            <w:tcBorders>
              <w:top w:val="nil"/>
              <w:left w:val="nil"/>
              <w:bottom w:val="nil"/>
              <w:right w:val="nil"/>
            </w:tcBorders>
            <w:tcMar>
              <w:top w:w="55" w:type="dxa"/>
              <w:start w:w="0" w:type="dxa"/>
              <w:bottom w:w="55" w:type="dxa"/>
              <w:end w:w="0" w:type="dxa"/>
            </w:tcMar>
            <w:vAlign w:val="center"/>
          </w:tcPr>
          <w:p>
            <w:pPr>
              <w:spacing w:after="0" w:before="0" w:line="240" w:lineRule="auto"/>
              <w:jc w:val="right"/>
            </w:pPr>
            <w:r>
              <w:rPr>
                <w:rFonts w:ascii="Inter" w:hAnsi="Inter" w:eastAsia="Inter"/>
                <w:b/>
                <w:i w:val="0"/>
                <w:color w:val="61736D"/>
                <w:sz w:val="15"/>
              </w:rPr>
              <w:t>SUBMISSION AND KEY INFORMATION</w:t>
            </w:r>
          </w:p>
        </w:tc>
      </w:tr>
    </w:tbl>
    <w:p>
      <w:pPr>
        <w:spacing w:after="160" w:before="0" w:line="240" w:lineRule="auto"/>
        <w:widowControl/>
        <w:pBdr>
          <w:bottom w:val="single" w:sz="6" w:space="0" w:color="D8E2DE"/>
        </w:pBdr>
      </w:pPr>
    </w:p>
    <w:tbl>
      <w:tblPr>
        <w:tblW w:type="auto" w:w="0"/>
        <w:jc w:val="center"/>
        <w:tblLayout w:type="fixed"/>
        <w:tblLook w:firstColumn="1" w:firstRow="1" w:lastColumn="0" w:lastRow="0" w:noHBand="0" w:noVBand="1" w:val="04A0"/>
      </w:tblPr>
      <w:tblGrid>
        <w:gridCol w:w="5471"/>
        <w:gridCol w:w="312"/>
        <w:gridCol w:w="3657"/>
      </w:tblGrid>
      <w:tr>
        <w:tc>
          <w:tcPr>
            <w:tcW w:type="dxa" w:w="3474000"/>
            <w:tcBorders>
              <w:top w:val="nil"/>
              <w:left w:val="nil"/>
              <w:bottom w:val="nil"/>
              <w:right w:val="nil"/>
            </w:tcBorders>
            <w:tcMar>
              <w:top w:w="0" w:type="dxa"/>
              <w:start w:w="0" w:type="dxa"/>
              <w:bottom w:w="0" w:type="dxa"/>
              <w:end w:w="0" w:type="dxa"/>
            </w:tcMar>
            <w:vAlign w:val="top"/>
          </w:tcPr>
          <w:p/>
          <w:p>
            <w:pPr>
              <w:keepNext/>
              <w:spacing w:after="40" w:before="40" w:line="240" w:lineRule="auto"/>
            </w:pPr>
            <w:r>
              <w:rPr>
                <w:rFonts w:ascii="Inter" w:hAnsi="Inter" w:eastAsia="Inter"/>
                <w:b/>
                <w:i w:val="0"/>
                <w:color w:val="D8A436"/>
                <w:sz w:val="14"/>
              </w:rPr>
              <w:t>SUBMISSION</w:t>
            </w:r>
          </w:p>
          <w:p>
            <w:pPr>
              <w:keepNext/>
              <w:spacing w:after="120" w:before="0" w:line="252" w:lineRule="auto"/>
            </w:pPr>
            <w:r>
              <w:rPr>
                <w:rFonts w:ascii="Noto Serif" w:hAnsi="Noto Serif" w:eastAsia="Noto Serif"/>
                <w:b/>
                <w:i w:val="0"/>
                <w:color w:val="17302B"/>
                <w:sz w:val="30"/>
              </w:rPr>
              <w:t>Submission guidelines</w:t>
            </w:r>
          </w:p>
          <w:p>
            <w:pPr>
              <w:spacing w:after="100" w:before="0" w:line="283" w:lineRule="auto"/>
            </w:pPr>
            <w:r>
              <w:rPr>
                <w:rFonts w:ascii="Inter" w:hAnsi="Inter" w:eastAsia="Inter"/>
                <w:b/>
                <w:i w:val="0"/>
                <w:color w:val="0E6B58"/>
                <w:sz w:val="18"/>
              </w:rPr>
              <w:t>Submissions must be written in English and clearly indicate the intended conference track, or ‘G8 - Open and Interdisciplinary MESD Track’ for work within the broader conference scope. Only an extended abstract of a maximum of 1,500 words is required; no full paper is required.</w:t>
            </w:r>
          </w:p>
          <w:p>
            <w:pPr>
              <w:spacing w:after="100" w:before="0" w:line="283" w:lineRule="auto"/>
            </w:pPr>
            <w:r>
              <w:rPr>
                <w:rFonts w:ascii="Inter" w:hAnsi="Inter" w:eastAsia="Inter"/>
                <w:b w:val="0"/>
                <w:i w:val="0"/>
                <w:color w:val="2F4B45"/>
                <w:sz w:val="18"/>
              </w:rPr>
              <w:t>The extended abstract should include the title, author information, research context, research questions, methodology, main findings or expected contribution, and references.</w:t>
            </w:r>
          </w:p>
          <w:p>
            <w:pPr>
              <w:spacing w:after="160" w:before="0" w:line="283" w:lineRule="auto"/>
            </w:pPr>
            <w:r>
              <w:rPr>
                <w:rFonts w:ascii="Inter" w:hAnsi="Inter" w:eastAsia="Inter"/>
                <w:b w:val="0"/>
                <w:i w:val="0"/>
                <w:color w:val="2F4B45"/>
                <w:sz w:val="18"/>
              </w:rPr>
              <w:t>Submissions must be original and must not have been previously published, accepted, or presented elsewhere. Research in progress is welcome. At least one author of each accepted contribution must register for and attend the conference.</w:t>
            </w:r>
          </w:p>
          <w:p>
            <w:pPr>
              <w:keepNext/>
              <w:spacing w:after="40" w:before="40" w:line="240" w:lineRule="auto"/>
            </w:pPr>
            <w:r>
              <w:rPr>
                <w:rFonts w:ascii="Inter" w:hAnsi="Inter" w:eastAsia="Inter"/>
                <w:b/>
                <w:i w:val="0"/>
                <w:color w:val="D8A436"/>
                <w:sz w:val="14"/>
              </w:rPr>
              <w:t>PARTICIPANTS</w:t>
            </w:r>
          </w:p>
          <w:p>
            <w:pPr>
              <w:keepNext/>
              <w:spacing w:after="120" w:before="0" w:line="252" w:lineRule="auto"/>
            </w:pPr>
            <w:r>
              <w:rPr>
                <w:rFonts w:ascii="Noto Serif" w:hAnsi="Noto Serif" w:eastAsia="Noto Serif"/>
                <w:b/>
                <w:i w:val="0"/>
                <w:color w:val="17302B"/>
                <w:sz w:val="30"/>
              </w:rPr>
              <w:t>Who should participate?</w:t>
            </w:r>
          </w:p>
          <w:p>
            <w:pPr>
              <w:spacing w:after="160" w:before="0" w:line="283" w:lineRule="auto"/>
            </w:pPr>
            <w:r>
              <w:rPr>
                <w:rFonts w:ascii="Inter" w:hAnsi="Inter" w:eastAsia="Inter"/>
                <w:b w:val="0"/>
                <w:i w:val="0"/>
                <w:color w:val="2F4B45"/>
                <w:sz w:val="18"/>
              </w:rPr>
              <w:t>Academic researchers, doctoral students, policy-makers, business leaders, sustainability professionals, representatives of NGOs, and other stakeholders interested in any aspect of the sustainable development of multinational enterprises. Contributions may engage with the 2026 thematic focus, but this is not mandatory.</w:t>
            </w:r>
          </w:p>
          <w:p>
            <w:pPr>
              <w:keepNext/>
              <w:spacing w:after="40" w:before="40" w:line="240" w:lineRule="auto"/>
            </w:pPr>
            <w:r>
              <w:rPr>
                <w:rFonts w:ascii="Inter" w:hAnsi="Inter" w:eastAsia="Inter"/>
                <w:b/>
                <w:i w:val="0"/>
                <w:color w:val="D8A436"/>
                <w:sz w:val="14"/>
              </w:rPr>
              <w:t>LEADERSHIP</w:t>
            </w:r>
          </w:p>
          <w:p>
            <w:pPr>
              <w:keepNext/>
              <w:spacing w:after="120" w:before="0" w:line="252" w:lineRule="auto"/>
            </w:pPr>
            <w:r>
              <w:rPr>
                <w:rFonts w:ascii="Noto Serif" w:hAnsi="Noto Serif" w:eastAsia="Noto Serif"/>
                <w:b/>
                <w:i w:val="0"/>
                <w:color w:val="17302B"/>
                <w:sz w:val="30"/>
              </w:rPr>
              <w:t>Conference chairs</w:t>
            </w:r>
          </w:p>
          <w:p>
            <w:pPr>
              <w:spacing w:after="40" w:before="0" w:line="283" w:lineRule="auto"/>
            </w:pPr>
            <w:r>
              <w:rPr>
                <w:rFonts w:ascii="Inter" w:hAnsi="Inter" w:eastAsia="Inter"/>
                <w:b w:val="0"/>
                <w:i/>
                <w:color w:val="61736D"/>
                <w:sz w:val="18"/>
              </w:rPr>
              <w:t>To be announced.</w:t>
            </w:r>
          </w:p>
        </w:tc>
        <w:tc>
          <w:tcPr>
            <w:tcW w:type="dxa" w:w="198000"/>
            <w:tcBorders>
              <w:top w:val="nil"/>
              <w:left w:val="nil"/>
              <w:bottom w:val="nil"/>
              <w:right w:val="nil"/>
            </w:tcBorders>
            <w:tcMar>
              <w:top w:w="0" w:type="dxa"/>
              <w:start w:w="0" w:type="dxa"/>
              <w:bottom w:w="0" w:type="dxa"/>
              <w:end w:w="0" w:type="dxa"/>
            </w:tcMar>
          </w:tcPr>
          <w:p/>
        </w:tc>
        <w:tc>
          <w:tcPr>
            <w:tcW w:type="dxa" w:w="2322000"/>
            <w:tcBorders>
              <w:top w:val="nil"/>
              <w:left w:val="nil"/>
              <w:bottom w:val="nil"/>
              <w:right w:val="nil"/>
            </w:tcBorders>
            <w:tcMar>
              <w:top w:w="0" w:type="dxa"/>
              <w:start w:w="0" w:type="dxa"/>
              <w:bottom w:w="0" w:type="dxa"/>
              <w:end w:w="0" w:type="dxa"/>
            </w:tcMar>
            <w:vAlign w:val="top"/>
          </w:tcPr>
          <w:p/>
          <w:tbl>
            <w:tblPr>
              <w:tblW w:type="auto" w:w="0"/>
              <w:jc w:val="center"/>
              <w:tblLayout w:type="fixed"/>
              <w:tblLook w:firstColumn="1" w:firstRow="1" w:lastColumn="0" w:lastRow="0" w:noHBand="0" w:noVBand="1" w:val="04A0"/>
            </w:tblPr>
            <w:tblGrid>
              <w:gridCol w:w="3430"/>
            </w:tblGrid>
            <w:tr>
              <w:tc>
                <w:tcPr>
                  <w:tcW w:type="dxa" w:w="2178000"/>
                  <w:shd w:fill="E8F4EF" w:val="clear"/>
                  <w:tcMar>
                    <w:top w:w="150" w:type="dxa"/>
                    <w:start w:w="160" w:type="dxa"/>
                    <w:bottom w:w="150" w:type="dxa"/>
                    <w:end w:w="160" w:type="dxa"/>
                  </w:tcMar>
                  <w:tcBorders>
                    <w:top w:val="single" w:sz="8" w:color="B9D8CD"/>
                    <w:left w:val="single" w:sz="8" w:color="B9D8CD"/>
                    <w:bottom w:val="single" w:sz="8" w:color="B9D8CD"/>
                    <w:right w:val="single" w:sz="8" w:color="B9D8CD"/>
                  </w:tcBorders>
                </w:tcPr>
                <w:p>
                  <w:pPr>
                    <w:spacing w:after="100" w:before="0" w:line="240" w:lineRule="auto"/>
                  </w:pPr>
                  <w:r>
                    <w:rPr>
                      <w:rFonts w:ascii="Inter" w:hAnsi="Inter" w:eastAsia="Inter"/>
                      <w:b/>
                      <w:i w:val="0"/>
                      <w:color w:val="0E6B58"/>
                      <w:sz w:val="14"/>
                    </w:rPr>
                    <w:t>SUBMISSION AT A GLANCE</w:t>
                  </w:r>
                </w:p>
                <w:p>
                  <w:pPr>
                    <w:spacing w:after="0" w:before="60" w:line="240" w:lineRule="auto"/>
                  </w:pPr>
                  <w:r>
                    <w:rPr>
                      <w:rFonts w:ascii="Inter" w:hAnsi="Inter" w:eastAsia="Inter"/>
                      <w:b/>
                      <w:i w:val="0"/>
                      <w:color w:val="D8A436"/>
                      <w:sz w:val="13"/>
                    </w:rPr>
                    <w:t>FORMAT</w:t>
                  </w:r>
                </w:p>
                <w:p>
                  <w:pPr>
                    <w:spacing w:after="20" w:before="0" w:line="252" w:lineRule="auto"/>
                  </w:pPr>
                  <w:r>
                    <w:rPr>
                      <w:rFonts w:ascii="Inter" w:hAnsi="Inter" w:eastAsia="Inter"/>
                      <w:b/>
                      <w:i w:val="0"/>
                      <w:color w:val="17302B"/>
                      <w:sz w:val="17"/>
                    </w:rPr>
                    <w:t>Extended abstract only</w:t>
                  </w:r>
                </w:p>
                <w:p>
                  <w:pPr>
                    <w:spacing w:after="0" w:before="60" w:line="240" w:lineRule="auto"/>
                  </w:pPr>
                  <w:r>
                    <w:rPr>
                      <w:rFonts w:ascii="Inter" w:hAnsi="Inter" w:eastAsia="Inter"/>
                      <w:b/>
                      <w:i w:val="0"/>
                      <w:color w:val="D8A436"/>
                      <w:sz w:val="13"/>
                    </w:rPr>
                    <w:t>LENGTH</w:t>
                  </w:r>
                </w:p>
                <w:p>
                  <w:pPr>
                    <w:spacing w:after="20" w:before="0" w:line="252" w:lineRule="auto"/>
                  </w:pPr>
                  <w:r>
                    <w:rPr>
                      <w:rFonts w:ascii="Inter" w:hAnsi="Inter" w:eastAsia="Inter"/>
                      <w:b/>
                      <w:i w:val="0"/>
                      <w:color w:val="17302B"/>
                      <w:sz w:val="17"/>
                    </w:rPr>
                    <w:t>Maximum 1,500 words</w:t>
                  </w:r>
                </w:p>
                <w:p>
                  <w:pPr>
                    <w:spacing w:after="0" w:before="60" w:line="240" w:lineRule="auto"/>
                  </w:pPr>
                  <w:r>
                    <w:rPr>
                      <w:rFonts w:ascii="Inter" w:hAnsi="Inter" w:eastAsia="Inter"/>
                      <w:b/>
                      <w:i w:val="0"/>
                      <w:color w:val="D8A436"/>
                      <w:sz w:val="13"/>
                    </w:rPr>
                    <w:t>LANGUAGE</w:t>
                  </w:r>
                </w:p>
                <w:p>
                  <w:pPr>
                    <w:spacing w:after="20" w:before="0" w:line="252" w:lineRule="auto"/>
                  </w:pPr>
                  <w:r>
                    <w:rPr>
                      <w:rFonts w:ascii="Inter" w:hAnsi="Inter" w:eastAsia="Inter"/>
                      <w:b/>
                      <w:i w:val="0"/>
                      <w:color w:val="17302B"/>
                      <w:sz w:val="17"/>
                    </w:rPr>
                    <w:t>English</w:t>
                  </w:r>
                </w:p>
                <w:p>
                  <w:pPr>
                    <w:spacing w:after="0" w:before="60" w:line="240" w:lineRule="auto"/>
                  </w:pPr>
                  <w:r>
                    <w:rPr>
                      <w:rFonts w:ascii="Inter" w:hAnsi="Inter" w:eastAsia="Inter"/>
                      <w:b/>
                      <w:i w:val="0"/>
                      <w:color w:val="D8A436"/>
                      <w:sz w:val="13"/>
                    </w:rPr>
                    <w:t>REVIEW</w:t>
                  </w:r>
                </w:p>
                <w:p>
                  <w:pPr>
                    <w:spacing w:after="20" w:before="0" w:line="252" w:lineRule="auto"/>
                  </w:pPr>
                  <w:r>
                    <w:rPr>
                      <w:rFonts w:ascii="Inter" w:hAnsi="Inter" w:eastAsia="Inter"/>
                      <w:b/>
                      <w:i w:val="0"/>
                      <w:color w:val="17302B"/>
                      <w:sz w:val="17"/>
                    </w:rPr>
                    <w:t>Peer reviewed</w:t>
                  </w:r>
                </w:p>
                <w:p>
                  <w:pPr>
                    <w:spacing w:after="0" w:before="60" w:line="240" w:lineRule="auto"/>
                  </w:pPr>
                  <w:r>
                    <w:rPr>
                      <w:rFonts w:ascii="Inter" w:hAnsi="Inter" w:eastAsia="Inter"/>
                      <w:b/>
                      <w:i w:val="0"/>
                      <w:color w:val="D8A436"/>
                      <w:sz w:val="13"/>
                    </w:rPr>
                    <w:t>FULL PAPER</w:t>
                  </w:r>
                </w:p>
                <w:p>
                  <w:pPr>
                    <w:spacing w:after="20" w:before="0" w:line="252" w:lineRule="auto"/>
                  </w:pPr>
                  <w:r>
                    <w:rPr>
                      <w:rFonts w:ascii="Inter" w:hAnsi="Inter" w:eastAsia="Inter"/>
                      <w:b/>
                      <w:i w:val="0"/>
                      <w:color w:val="17302B"/>
                      <w:sz w:val="17"/>
                    </w:rPr>
                    <w:t>Not required</w:t>
                  </w:r>
                </w:p>
              </w:tc>
            </w:tr>
          </w:tbl>
          <w:p/>
          <w:p>
            <w:pPr>
              <w:spacing w:after="100" w:before="160" w:line="240" w:lineRule="auto"/>
            </w:pPr>
          </w:p>
          <w:tbl>
            <w:tblPr>
              <w:tblW w:type="auto" w:w="0"/>
              <w:tblLayout w:type="fixed"/>
              <w:tblLook w:firstColumn="1" w:firstRow="1" w:lastColumn="0" w:lastRow="0" w:noHBand="0" w:noVBand="1" w:val="04A0"/>
            </w:tblPr>
            <w:tblGrid>
              <w:gridCol w:w="3430"/>
            </w:tblGrid>
            <w:tr>
              <w:tc>
                <w:tcPr>
                  <w:tcW w:type="dxa" w:w="2178000"/>
                  <w:shd w:fill="FFFFFF" w:val="clear"/>
                  <w:tcMar>
                    <w:top w:w="150" w:type="dxa"/>
                    <w:start w:w="160" w:type="dxa"/>
                    <w:bottom w:w="150" w:type="dxa"/>
                    <w:end w:w="160" w:type="dxa"/>
                  </w:tcMar>
                  <w:tcBorders>
                    <w:top w:val="single" w:sz="8" w:color="D8E2DE"/>
                    <w:left w:val="single" w:sz="8" w:color="D8E2DE"/>
                    <w:bottom w:val="single" w:sz="8" w:color="D8E2DE"/>
                    <w:right w:val="single" w:sz="8" w:color="D8E2DE"/>
                  </w:tcBorders>
                </w:tcPr>
                <w:p>
                  <w:pPr>
                    <w:spacing w:after="100" w:before="0" w:line="240" w:lineRule="auto"/>
                  </w:pPr>
                  <w:r>
                    <w:rPr>
                      <w:rFonts w:ascii="Inter" w:hAnsi="Inter" w:eastAsia="Inter"/>
                      <w:b/>
                      <w:i w:val="0"/>
                      <w:color w:val="0E6B58"/>
                      <w:sz w:val="14"/>
                    </w:rPr>
                    <w:t>IMPORTANT DATES</w:t>
                  </w:r>
                </w:p>
                <w:p>
                  <w:pPr>
                    <w:spacing w:after="0" w:before="60" w:line="240" w:lineRule="auto"/>
                  </w:pPr>
                  <w:r>
                    <w:rPr>
                      <w:rFonts w:ascii="Inter" w:hAnsi="Inter" w:eastAsia="Inter"/>
                      <w:b/>
                      <w:i w:val="0"/>
                      <w:color w:val="61736D"/>
                      <w:sz w:val="12"/>
                    </w:rPr>
                    <w:t>SUBMISSION OPENS</w:t>
                  </w:r>
                </w:p>
                <w:p>
                  <w:pPr>
                    <w:spacing w:after="20" w:before="0" w:line="252" w:lineRule="auto"/>
                  </w:pPr>
                  <w:r>
                    <w:rPr>
                      <w:rFonts w:ascii="Inter" w:hAnsi="Inter" w:eastAsia="Inter"/>
                      <w:b w:val="0"/>
                      <w:i w:val="0"/>
                      <w:color w:val="17302B"/>
                      <w:sz w:val="17"/>
                    </w:rPr>
                    <w:t>15 August 2026</w:t>
                  </w:r>
                </w:p>
                <w:p>
                  <w:pPr>
                    <w:spacing w:after="0" w:before="60" w:line="240" w:lineRule="auto"/>
                  </w:pPr>
                  <w:r>
                    <w:rPr>
                      <w:rFonts w:ascii="Inter" w:hAnsi="Inter" w:eastAsia="Inter"/>
                      <w:b/>
                      <w:i w:val="0"/>
                      <w:color w:val="61736D"/>
                      <w:sz w:val="12"/>
                    </w:rPr>
                    <w:t>SUBMISSION DEADLINE</w:t>
                  </w:r>
                </w:p>
                <w:p>
                  <w:pPr>
                    <w:spacing w:after="20" w:before="0" w:line="252" w:lineRule="auto"/>
                  </w:pPr>
                  <w:r>
                    <w:rPr>
                      <w:rFonts w:ascii="Inter" w:hAnsi="Inter" w:eastAsia="Inter"/>
                      <w:b w:val="0"/>
                      <w:i w:val="0"/>
                      <w:color w:val="17302B"/>
                      <w:sz w:val="17"/>
                    </w:rPr>
                    <w:t>15 October 2026</w:t>
                  </w:r>
                </w:p>
                <w:p>
                  <w:pPr>
                    <w:spacing w:after="0" w:before="60" w:line="240" w:lineRule="auto"/>
                  </w:pPr>
                  <w:r>
                    <w:rPr>
                      <w:rFonts w:ascii="Inter" w:hAnsi="Inter" w:eastAsia="Inter"/>
                      <w:b/>
                      <w:i w:val="0"/>
                      <w:color w:val="61736D"/>
                      <w:sz w:val="12"/>
                    </w:rPr>
                    <w:t>FINAL NOTIFICATION</w:t>
                  </w:r>
                </w:p>
                <w:p>
                  <w:pPr>
                    <w:spacing w:after="20" w:before="0" w:line="252" w:lineRule="auto"/>
                  </w:pPr>
                  <w:r>
                    <w:rPr>
                      <w:rFonts w:ascii="Inter" w:hAnsi="Inter" w:eastAsia="Inter"/>
                      <w:b w:val="0"/>
                      <w:i w:val="0"/>
                      <w:color w:val="17302B"/>
                      <w:sz w:val="17"/>
                    </w:rPr>
                    <w:t>By 30 October 2026</w:t>
                  </w:r>
                </w:p>
                <w:p>
                  <w:pPr>
                    <w:spacing w:after="0" w:before="60" w:line="240" w:lineRule="auto"/>
                  </w:pPr>
                  <w:r>
                    <w:rPr>
                      <w:rFonts w:ascii="Inter" w:hAnsi="Inter" w:eastAsia="Inter"/>
                      <w:b/>
                      <w:i w:val="0"/>
                      <w:color w:val="61736D"/>
                      <w:sz w:val="12"/>
                    </w:rPr>
                    <w:t>CONFERENCE</w:t>
                  </w:r>
                </w:p>
                <w:p>
                  <w:pPr>
                    <w:spacing w:after="20" w:before="0" w:line="252" w:lineRule="auto"/>
                  </w:pPr>
                  <w:r>
                    <w:rPr>
                      <w:rFonts w:ascii="Inter" w:hAnsi="Inter" w:eastAsia="Inter"/>
                      <w:b/>
                      <w:i w:val="0"/>
                      <w:color w:val="0E6B58"/>
                      <w:sz w:val="17"/>
                    </w:rPr>
                    <w:t>10-11 December 2026</w:t>
                  </w:r>
                </w:p>
              </w:tc>
            </w:tr>
          </w:tbl>
          <w:p/>
        </w:tc>
      </w:tr>
    </w:tbl>
    <w:p>
      <w:pPr>
        <w:widowControl/>
        <w:spacing w:after="120" w:before="160" w:line="240" w:lineRule="auto"/>
      </w:pPr>
    </w:p>
    <w:tbl>
      <w:tblPr>
        <w:tblW w:type="auto" w:w="0"/>
        <w:jc w:val="center"/>
        <w:tblLayout w:type="fixed"/>
        <w:tblLook w:firstColumn="1" w:firstRow="1" w:lastColumn="0" w:lastRow="0" w:noHBand="0" w:noVBand="1" w:val="04A0"/>
      </w:tblPr>
      <w:tblGrid>
        <w:gridCol w:w="7540"/>
        <w:gridCol w:w="1984"/>
      </w:tblGrid>
      <w:tr>
        <w:tc>
          <w:tcPr>
            <w:tcW w:type="dxa" w:w="5103"/>
            <w:tcBorders>
              <w:top w:val="nil"/>
              <w:left w:val="nil"/>
              <w:bottom w:val="nil"/>
              <w:right w:val="nil"/>
            </w:tcBorders>
            <w:shd w:fill="17302B" w:val="clear"/>
            <w:tcMar>
              <w:top w:w="150" w:type="dxa"/>
              <w:start w:w="180" w:type="dxa"/>
              <w:bottom w:w="150" w:type="dxa"/>
              <w:end w:w="180" w:type="dxa"/>
            </w:tcMar>
            <w:vAlign w:val="center"/>
          </w:tcPr>
          <w:p>
            <w:pPr>
              <w:spacing w:after="60" w:before="0" w:line="240" w:lineRule="auto"/>
            </w:pPr>
            <w:r>
              <w:rPr>
                <w:rFonts w:ascii="Inter" w:hAnsi="Inter" w:eastAsia="Inter"/>
                <w:b/>
                <w:i w:val="0"/>
                <w:color w:val="D8A436"/>
                <w:sz w:val="14"/>
              </w:rPr>
              <w:t>FIND THE LATEST INFORMATION ONLINE</w:t>
            </w:r>
          </w:p>
          <w:p>
            <w:pPr>
              <w:spacing w:after="80" w:before="0" w:line="250" w:lineRule="auto"/>
            </w:pPr>
            <w:r>
              <w:rPr>
                <w:rFonts w:ascii="Noto Serif" w:hAnsi="Noto Serif" w:eastAsia="Noto Serif"/>
                <w:b/>
                <w:i w:val="0"/>
                <w:color w:val="FFFFFF"/>
                <w:sz w:val="29"/>
              </w:rPr>
              <w:t>MESD'26 - 20th Anniversary Edition - Berlin</w:t>
            </w:r>
          </w:p>
          <w:p>
            <w:pPr>
              <w:spacing w:after="0" w:before="0" w:line="264" w:lineRule="auto"/>
            </w:pPr>
            <w:r>
              <w:rPr>
                <w:rFonts w:ascii="Inter" w:hAnsi="Inter" w:eastAsia="Inter"/>
                <w:b w:val="0"/>
                <w:i w:val="0"/>
                <w:color w:val="FFFFFF"/>
                <w:sz w:val="16"/>
              </w:rPr>
              <w:t>ICN Business School - Berlin Campus  |  Alt-Moabit 96, 10559 Berlin, Germany</w:t>
            </w:r>
          </w:p>
          <w:p>
            <w:pPr>
              <w:spacing w:after="0" w:before="80" w:line="240" w:lineRule="auto"/>
            </w:pPr>
            <w:hyperlink r:id="rId11">
              <w:r>
                <w:rPr>
                  <w:rFonts w:ascii="Inter" w:hAnsi="Inter"/>
                  <w:color w:val="D8A436"/>
                  <w:sz w:val="20"/>
                </w:rPr>
                <w:t>mesd.org/mesd26/</w:t>
              </w:r>
            </w:hyperlink>
          </w:p>
        </w:tc>
        <w:tc>
          <w:tcPr>
            <w:tcW w:type="dxa" w:w="5103"/>
            <w:tcBorders>
              <w:top w:val="nil"/>
              <w:left w:val="nil"/>
              <w:bottom w:val="nil"/>
              <w:right w:val="nil"/>
            </w:tcBorders>
            <w:shd w:fill="17302B" w:val="clear"/>
            <w:tcMar>
              <w:top w:w="150" w:type="dxa"/>
              <w:start w:w="180" w:type="dxa"/>
              <w:bottom w:w="150" w:type="dxa"/>
              <w:end w:w="180" w:type="dxa"/>
            </w:tcMar>
            <w:vAlign w:val="center"/>
          </w:tcPr>
          <w:p>
            <w:pPr>
              <w:jc w:val="center"/>
            </w:pPr>
            <w:r>
              <w:drawing>
                <wp:inline xmlns:a="http://schemas.openxmlformats.org/drawingml/2006/main" xmlns:pic="http://schemas.openxmlformats.org/drawingml/2006/picture">
                  <wp:extent cx="936000" cy="936000"/>
                  <wp:docPr id="2" name="Picture 2"/>
                  <wp:cNvGraphicFramePr>
                    <a:graphicFrameLocks noChangeAspect="1"/>
                  </wp:cNvGraphicFramePr>
                  <a:graphic>
                    <a:graphicData uri="http://schemas.openxmlformats.org/drawingml/2006/picture">
                      <pic:pic>
                        <pic:nvPicPr>
                          <pic:cNvPr id="0" name="mesd26_qr.png"/>
                          <pic:cNvPicPr/>
                        </pic:nvPicPr>
                        <pic:blipFill>
                          <a:blip r:embed="rId12"/>
                          <a:stretch>
                            <a:fillRect/>
                          </a:stretch>
                        </pic:blipFill>
                        <pic:spPr>
                          <a:xfrm>
                            <a:off x="0" y="0"/>
                            <a:ext cx="936000" cy="936000"/>
                          </a:xfrm>
                          <a:prstGeom prst="rect"/>
                        </pic:spPr>
                      </pic:pic>
                    </a:graphicData>
                  </a:graphic>
                </wp:inline>
              </w:drawing>
            </w:r>
          </w:p>
          <w:p>
            <w:pPr>
              <w:spacing w:after="0" w:before="0" w:line="240" w:lineRule="auto"/>
              <w:jc w:val="center"/>
            </w:pPr>
            <w:r>
              <w:rPr>
                <w:rFonts w:ascii="Inter" w:hAnsi="Inter" w:eastAsia="Inter"/>
                <w:b/>
                <w:i w:val="0"/>
                <w:color w:val="D8A436"/>
                <w:sz w:val="12"/>
              </w:rPr>
              <w:t>SCAN FOR UPDATES</w:t>
            </w:r>
          </w:p>
        </w:tc>
      </w:tr>
    </w:tbl>
    <w:sectPr w:rsidR="00FC693F" w:rsidRPr="0006063C" w:rsidSect="00034616">
      <w:footerReference w:type="default" r:id="rId9"/>
      <w:pgSz w:w="11906" w:h="16838"/>
      <w:pgMar w:top="765" w:right="850" w:bottom="709" w:left="850" w:header="227"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before="0" w:line="240" w:lineRule="auto"/>
      <w:jc w:val="center"/>
    </w:pPr>
    <w:r>
      <w:rPr>
        <w:rFonts w:ascii="Inter" w:hAnsi="Inter" w:eastAsia="Inter"/>
        <w:b w:val="0"/>
        <w:i w:val="0"/>
        <w:color w:val="61736D"/>
        <w:sz w:val="15"/>
      </w:rPr>
      <w:t xml:space="preserve">MESD'26  |  20th Anniversary 2006-2026  |  Berlin  |  10-11 December 2026  |  </w:t>
    </w:r>
    <w:r>
      <w:rPr>
        <w:rFonts w:ascii="Inter" w:hAnsi="Inter" w:eastAsia="Inter"/>
        <w:color w:val="61736D"/>
        <w:sz w:val="15"/>
      </w:r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6" w:lineRule="auto"/>
    </w:pPr>
    <w:rPr>
      <w:rFonts w:ascii="Inter" w:hAnsi="Inter" w:eastAsia="Inter"/>
      <w:color w:val="2F4B45"/>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Inter" w:hAnsi="Inter" w:eastAsia="Inter"/>
      <w:color w:val="2F4B45"/>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Inter" w:hAnsi="Inter" w:eastAsia="Inter"/>
      <w:color w:val="2F4B45"/>
      <w:sz w:val="17"/>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mesd.org/mesd26/" TargetMode="External"/><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MESD'26 Call for Extended Abstracts</dc:title>
  <dc:subject>International conference on the sustainable development of multinational enterprises; 2026 thematic focus on crisis</dc:subject>
  <dc:creator>python-docx</dc:creator>
  <cp:keywords>MESD26, Berlin, sustainable development, multinational enterprises, sustainability, responsibility, crisis, extended abstract</cp:keywords>
  <dc:description>Modern formatted edition for web and email distribution.</dc:description>
  <cp:lastModifiedBy/>
  <cp:revision>1</cp:revision>
  <dcterms:created xsi:type="dcterms:W3CDTF">2013-12-23T23:15:00Z</dcterms:created>
  <dcterms:modified xsi:type="dcterms:W3CDTF">2013-12-23T23:15:00Z</dcterms:modified>
  <cp:category/>
</cp:coreProperties>
</file>